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AD19" w14:textId="59778754" w:rsidR="00182E85" w:rsidRPr="00690447" w:rsidRDefault="00182E85" w:rsidP="00182E85">
      <w:pPr>
        <w:tabs>
          <w:tab w:val="left" w:pos="1985"/>
        </w:tabs>
        <w:spacing w:after="0"/>
        <w:jc w:val="both"/>
        <w:rPr>
          <w:rFonts w:ascii="Arial" w:hAnsi="Arial" w:cs="Arial"/>
          <w:b/>
          <w:bCs/>
          <w:sz w:val="24"/>
        </w:rPr>
      </w:pPr>
      <w:r w:rsidRPr="00F55E8D">
        <w:rPr>
          <w:rFonts w:ascii="Arial" w:hAnsi="Arial" w:cs="Arial"/>
          <w:b/>
          <w:bCs/>
          <w:sz w:val="24"/>
        </w:rPr>
        <w:t>3GPP TSG RAN WG1 Meeting 90bis</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Pr>
          <w:rFonts w:ascii="Arial" w:hAnsi="Arial" w:cs="Arial"/>
          <w:b/>
          <w:bCs/>
          <w:sz w:val="24"/>
        </w:rPr>
        <w:t>17</w:t>
      </w:r>
      <w:r w:rsidR="00D5547E">
        <w:rPr>
          <w:rFonts w:ascii="Arial" w:hAnsi="Arial" w:cs="Arial"/>
          <w:b/>
          <w:bCs/>
          <w:sz w:val="24"/>
        </w:rPr>
        <w:t>1</w:t>
      </w:r>
      <w:bookmarkStart w:id="0" w:name="_GoBack"/>
      <w:bookmarkEnd w:id="0"/>
      <w:r w:rsidR="00D5547E">
        <w:rPr>
          <w:rFonts w:ascii="Arial" w:hAnsi="Arial" w:cs="Arial"/>
          <w:b/>
          <w:bCs/>
          <w:sz w:val="24"/>
        </w:rPr>
        <w:t>7362</w:t>
      </w:r>
    </w:p>
    <w:p w14:paraId="58566123" w14:textId="77777777" w:rsidR="00182E85" w:rsidRPr="00690447" w:rsidRDefault="00182E85" w:rsidP="00182E85">
      <w:pPr>
        <w:tabs>
          <w:tab w:val="left" w:pos="1985"/>
        </w:tabs>
        <w:spacing w:after="0"/>
        <w:jc w:val="both"/>
        <w:rPr>
          <w:rFonts w:ascii="Arial" w:hAnsi="Arial" w:cs="Arial"/>
          <w:b/>
          <w:bCs/>
          <w:sz w:val="24"/>
        </w:rPr>
      </w:pPr>
      <w:r w:rsidRPr="00F55E8D">
        <w:rPr>
          <w:rFonts w:ascii="Arial" w:hAnsi="Arial" w:cs="Arial"/>
          <w:b/>
          <w:bCs/>
          <w:sz w:val="24"/>
        </w:rPr>
        <w:t>Prague, CZ, 9th – 13th, October 2017</w:t>
      </w:r>
    </w:p>
    <w:p w14:paraId="673E8FE2" w14:textId="77777777" w:rsidR="00BE3E52" w:rsidRPr="00182E85"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5CE474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90447">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37191ED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4CE25E84" w:rsidR="009A0886" w:rsidRDefault="00690447" w:rsidP="00026770">
      <w:pPr>
        <w:ind w:firstLine="284"/>
        <w:jc w:val="both"/>
        <w:rPr>
          <w:sz w:val="22"/>
          <w:szCs w:val="22"/>
          <w:lang w:eastAsia="zh-CN"/>
        </w:rPr>
      </w:pPr>
      <w:r>
        <w:rPr>
          <w:sz w:val="22"/>
          <w:szCs w:val="22"/>
          <w:lang w:eastAsia="zh-CN"/>
        </w:rPr>
        <w:t>In RAN1 #90</w:t>
      </w:r>
      <w:r w:rsidR="009A0886">
        <w:rPr>
          <w:sz w:val="22"/>
          <w:szCs w:val="22"/>
          <w:lang w:eastAsia="zh-CN"/>
        </w:rPr>
        <w:t xml:space="preserve"> meeting, the following agreements for UL codebook based transmission have been achieved. [1]</w:t>
      </w:r>
    </w:p>
    <w:p w14:paraId="4AA92E1A" w14:textId="77777777" w:rsidR="00690447" w:rsidRPr="00690447" w:rsidRDefault="00690447" w:rsidP="00690447">
      <w:pPr>
        <w:rPr>
          <w:rFonts w:eastAsia="MS Mincho"/>
          <w:i/>
          <w:sz w:val="22"/>
          <w:szCs w:val="22"/>
          <w:lang w:eastAsia="ja-JP"/>
        </w:rPr>
      </w:pPr>
      <w:r w:rsidRPr="00690447">
        <w:rPr>
          <w:rFonts w:eastAsia="MS Mincho"/>
          <w:i/>
          <w:sz w:val="22"/>
          <w:szCs w:val="22"/>
          <w:highlight w:val="green"/>
          <w:lang w:eastAsia="ja-JP"/>
        </w:rPr>
        <w:t>Agreements:</w:t>
      </w:r>
    </w:p>
    <w:p w14:paraId="575A6ACB" w14:textId="77777777" w:rsidR="00690447" w:rsidRPr="00690447" w:rsidRDefault="00690447" w:rsidP="00690447">
      <w:pPr>
        <w:numPr>
          <w:ilvl w:val="0"/>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For DFT-S-OFDM, use rank 1 precoders from table below for 2 Tx with wideband TPMI only</w:t>
      </w:r>
    </w:p>
    <w:p w14:paraId="42BFD54C" w14:textId="77777777" w:rsidR="00690447" w:rsidRPr="00690447" w:rsidRDefault="00690447" w:rsidP="00690447">
      <w:pPr>
        <w:numPr>
          <w:ilvl w:val="1"/>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Note: in the following table “codebook index” should be called “TPMI index”</w:t>
      </w:r>
    </w:p>
    <w:p w14:paraId="54669F7F" w14:textId="44D2CBE8" w:rsidR="00690447" w:rsidRPr="00690447" w:rsidRDefault="00690447" w:rsidP="00690447">
      <w:pPr>
        <w:rPr>
          <w:rFonts w:eastAsia="MS Mincho"/>
          <w:i/>
          <w:sz w:val="22"/>
          <w:szCs w:val="22"/>
          <w:lang w:eastAsia="ja-JP"/>
        </w:rPr>
      </w:pPr>
      <w:r w:rsidRPr="00690447">
        <w:rPr>
          <w:i/>
          <w:noProof/>
          <w:sz w:val="22"/>
          <w:szCs w:val="22"/>
          <w:lang w:val="en-US" w:eastAsia="zh-CN"/>
        </w:rPr>
        <w:drawing>
          <wp:inline distT="0" distB="0" distL="0" distR="0" wp14:anchorId="0B294E30" wp14:editId="6AA7DCE9">
            <wp:extent cx="6118860"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2857500"/>
                    </a:xfrm>
                    <a:prstGeom prst="rect">
                      <a:avLst/>
                    </a:prstGeom>
                    <a:noFill/>
                    <a:ln>
                      <a:noFill/>
                    </a:ln>
                  </pic:spPr>
                </pic:pic>
              </a:graphicData>
            </a:graphic>
          </wp:inline>
        </w:drawing>
      </w:r>
    </w:p>
    <w:p w14:paraId="0001B1A5" w14:textId="77777777" w:rsidR="00690447" w:rsidRPr="00690447" w:rsidRDefault="00690447" w:rsidP="00690447">
      <w:pPr>
        <w:rPr>
          <w:rFonts w:eastAsia="MS Mincho"/>
          <w:i/>
          <w:sz w:val="22"/>
          <w:szCs w:val="22"/>
          <w:lang w:eastAsia="ja-JP"/>
        </w:rPr>
      </w:pPr>
      <w:r w:rsidRPr="00690447">
        <w:rPr>
          <w:rFonts w:eastAsia="MS Mincho"/>
          <w:i/>
          <w:sz w:val="22"/>
          <w:szCs w:val="22"/>
          <w:highlight w:val="green"/>
          <w:lang w:eastAsia="ja-JP"/>
        </w:rPr>
        <w:t>Agreements</w:t>
      </w:r>
      <w:r w:rsidRPr="00690447">
        <w:rPr>
          <w:rFonts w:eastAsia="MS Mincho"/>
          <w:i/>
          <w:sz w:val="22"/>
          <w:szCs w:val="22"/>
          <w:lang w:eastAsia="ja-JP"/>
        </w:rPr>
        <w:t>:</w:t>
      </w:r>
    </w:p>
    <w:p w14:paraId="5C08A6A2" w14:textId="77777777" w:rsidR="00690447" w:rsidRPr="00690447" w:rsidRDefault="00690447" w:rsidP="00690447">
      <w:pPr>
        <w:numPr>
          <w:ilvl w:val="0"/>
          <w:numId w:val="33"/>
        </w:numPr>
        <w:tabs>
          <w:tab w:val="left" w:pos="720"/>
        </w:tabs>
        <w:overflowPunct/>
        <w:autoSpaceDE/>
        <w:autoSpaceDN/>
        <w:adjustRightInd/>
        <w:spacing w:after="0"/>
        <w:textAlignment w:val="auto"/>
        <w:rPr>
          <w:i/>
          <w:sz w:val="22"/>
          <w:szCs w:val="22"/>
        </w:rPr>
      </w:pPr>
      <w:r w:rsidRPr="00690447">
        <w:rPr>
          <w:i/>
          <w:sz w:val="22"/>
          <w:szCs w:val="22"/>
        </w:rPr>
        <w:t>For CP-OFDM</w:t>
      </w:r>
    </w:p>
    <w:p w14:paraId="52ED8EAF"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rPr>
      </w:pPr>
      <w:r w:rsidRPr="00690447">
        <w:rPr>
          <w:i/>
          <w:sz w:val="22"/>
          <w:szCs w:val="22"/>
        </w:rPr>
        <w:t>At least TPMI indices 0-3 for rank 1 and TPMI indices 0 and 1 for rank 2 are used</w:t>
      </w:r>
    </w:p>
    <w:p w14:paraId="7E87C49C"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rPr>
      </w:pPr>
      <w:r w:rsidRPr="00690447">
        <w:rPr>
          <w:i/>
          <w:sz w:val="22"/>
          <w:szCs w:val="22"/>
        </w:rPr>
        <w:t xml:space="preserve">One of the two following Antenna port selection mechanisms is supported; </w:t>
      </w:r>
    </w:p>
    <w:p w14:paraId="398E8A3C" w14:textId="77777777" w:rsidR="00690447" w:rsidRPr="00690447" w:rsidRDefault="00690447" w:rsidP="00690447">
      <w:pPr>
        <w:numPr>
          <w:ilvl w:val="2"/>
          <w:numId w:val="33"/>
        </w:numPr>
        <w:tabs>
          <w:tab w:val="left" w:pos="720"/>
        </w:tabs>
        <w:overflowPunct/>
        <w:autoSpaceDE/>
        <w:autoSpaceDN/>
        <w:adjustRightInd/>
        <w:spacing w:after="0"/>
        <w:textAlignment w:val="auto"/>
        <w:rPr>
          <w:i/>
          <w:sz w:val="22"/>
          <w:szCs w:val="22"/>
        </w:rPr>
      </w:pPr>
      <w:r w:rsidRPr="00690447">
        <w:rPr>
          <w:i/>
          <w:sz w:val="22"/>
          <w:szCs w:val="22"/>
        </w:rPr>
        <w:t>Decide among the two alternatives in RAN1# 90bis</w:t>
      </w:r>
    </w:p>
    <w:p w14:paraId="2C59F97D" w14:textId="77777777" w:rsidR="00690447" w:rsidRPr="00690447" w:rsidRDefault="00690447" w:rsidP="00690447">
      <w:pPr>
        <w:numPr>
          <w:ilvl w:val="2"/>
          <w:numId w:val="33"/>
        </w:numPr>
        <w:tabs>
          <w:tab w:val="left" w:pos="720"/>
        </w:tabs>
        <w:overflowPunct/>
        <w:autoSpaceDE/>
        <w:autoSpaceDN/>
        <w:adjustRightInd/>
        <w:spacing w:after="0"/>
        <w:textAlignment w:val="auto"/>
        <w:rPr>
          <w:i/>
          <w:sz w:val="22"/>
          <w:szCs w:val="22"/>
        </w:rPr>
      </w:pPr>
      <w:r w:rsidRPr="00690447">
        <w:rPr>
          <w:i/>
          <w:sz w:val="22"/>
          <w:szCs w:val="22"/>
        </w:rPr>
        <w:t>Alt 1: TPMI indices 4 and 5 for rank 1, and 2 for rank 2, from the above table are used for CP-OFDM</w:t>
      </w:r>
    </w:p>
    <w:p w14:paraId="12C4F426" w14:textId="77777777" w:rsidR="00690447" w:rsidRPr="00690447" w:rsidRDefault="00690447" w:rsidP="00690447">
      <w:pPr>
        <w:numPr>
          <w:ilvl w:val="2"/>
          <w:numId w:val="33"/>
        </w:numPr>
        <w:tabs>
          <w:tab w:val="left" w:pos="720"/>
        </w:tabs>
        <w:overflowPunct/>
        <w:autoSpaceDE/>
        <w:autoSpaceDN/>
        <w:adjustRightInd/>
        <w:spacing w:after="0"/>
        <w:textAlignment w:val="auto"/>
        <w:rPr>
          <w:i/>
          <w:sz w:val="22"/>
          <w:szCs w:val="22"/>
        </w:rPr>
      </w:pPr>
      <w:r w:rsidRPr="00690447">
        <w:rPr>
          <w:i/>
          <w:sz w:val="22"/>
          <w:szCs w:val="22"/>
        </w:rPr>
        <w:t>Alt 2: SRI indicates selected antenna ports</w:t>
      </w:r>
    </w:p>
    <w:p w14:paraId="28D71113" w14:textId="77777777" w:rsidR="00690447" w:rsidRPr="00690447" w:rsidRDefault="00690447" w:rsidP="00690447">
      <w:pPr>
        <w:rPr>
          <w:rFonts w:eastAsia="MS Mincho"/>
          <w:i/>
          <w:sz w:val="22"/>
          <w:szCs w:val="22"/>
          <w:lang w:eastAsia="ja-JP"/>
        </w:rPr>
      </w:pPr>
      <w:r w:rsidRPr="00690447">
        <w:rPr>
          <w:rFonts w:eastAsia="MS Mincho"/>
          <w:i/>
          <w:sz w:val="22"/>
          <w:szCs w:val="22"/>
          <w:highlight w:val="green"/>
          <w:lang w:eastAsia="ja-JP"/>
        </w:rPr>
        <w:t>Agreements</w:t>
      </w:r>
      <w:r w:rsidRPr="00690447">
        <w:rPr>
          <w:rFonts w:eastAsia="MS Mincho"/>
          <w:i/>
          <w:sz w:val="22"/>
          <w:szCs w:val="22"/>
          <w:lang w:eastAsia="ja-JP"/>
        </w:rPr>
        <w:t>:</w:t>
      </w:r>
    </w:p>
    <w:p w14:paraId="5DB6D360" w14:textId="77777777" w:rsidR="00690447" w:rsidRPr="00690447" w:rsidRDefault="00690447" w:rsidP="00690447">
      <w:pPr>
        <w:numPr>
          <w:ilvl w:val="0"/>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For 2 Tx, use single stage DCI with a semi-statically configured size to convey TPMI, SRI, TRI in Rel-15</w:t>
      </w:r>
    </w:p>
    <w:p w14:paraId="49D80309" w14:textId="77777777" w:rsidR="00690447" w:rsidRPr="00690447" w:rsidRDefault="00690447" w:rsidP="00690447">
      <w:pPr>
        <w:numPr>
          <w:ilvl w:val="0"/>
          <w:numId w:val="33"/>
        </w:numPr>
        <w:tabs>
          <w:tab w:val="left" w:pos="720"/>
          <w:tab w:val="left" w:pos="1440"/>
        </w:tabs>
        <w:overflowPunct/>
        <w:autoSpaceDE/>
        <w:autoSpaceDN/>
        <w:adjustRightInd/>
        <w:spacing w:after="0"/>
        <w:textAlignment w:val="auto"/>
        <w:rPr>
          <w:i/>
          <w:sz w:val="22"/>
          <w:szCs w:val="22"/>
          <w:lang w:eastAsia="x-none"/>
        </w:rPr>
      </w:pPr>
      <w:r w:rsidRPr="00690447">
        <w:rPr>
          <w:i/>
          <w:sz w:val="22"/>
          <w:szCs w:val="22"/>
          <w:lang w:eastAsia="x-none"/>
        </w:rPr>
        <w:t>Total combined DCI size of TPMI, TRI, and SRI does not vary with PUSCH resource allocation for single stage DCI</w:t>
      </w:r>
    </w:p>
    <w:p w14:paraId="7EF93F17" w14:textId="77777777" w:rsidR="00690447" w:rsidRPr="00690447" w:rsidRDefault="00690447" w:rsidP="00690447">
      <w:pPr>
        <w:numPr>
          <w:ilvl w:val="0"/>
          <w:numId w:val="33"/>
        </w:numPr>
        <w:tabs>
          <w:tab w:val="left" w:pos="720"/>
        </w:tabs>
        <w:overflowPunct/>
        <w:autoSpaceDE/>
        <w:autoSpaceDN/>
        <w:adjustRightInd/>
        <w:spacing w:after="0"/>
        <w:textAlignment w:val="auto"/>
        <w:rPr>
          <w:i/>
          <w:sz w:val="22"/>
          <w:szCs w:val="22"/>
          <w:lang w:eastAsia="x-none"/>
        </w:rPr>
      </w:pPr>
      <w:r w:rsidRPr="00690447">
        <w:rPr>
          <w:i/>
          <w:sz w:val="22"/>
          <w:szCs w:val="22"/>
          <w:lang w:eastAsia="x-none"/>
        </w:rPr>
        <w:t>Specify UE capability identifying if UL MIMO capable UE can support coherent transmission across its transmit chains</w:t>
      </w:r>
    </w:p>
    <w:p w14:paraId="3AF658DB"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lang w:eastAsia="x-none"/>
        </w:rPr>
      </w:pPr>
      <w:r w:rsidRPr="00690447">
        <w:rPr>
          <w:i/>
          <w:sz w:val="22"/>
          <w:szCs w:val="22"/>
          <w:lang w:eastAsia="x-none"/>
        </w:rPr>
        <w:lastRenderedPageBreak/>
        <w:t>FFS: if UE capability identifies if coherent transmission is supported on all of, vs. none of, vs. on a subset, of its transmit chains</w:t>
      </w:r>
    </w:p>
    <w:p w14:paraId="17BB9B02" w14:textId="77777777" w:rsidR="00690447" w:rsidRPr="00690447" w:rsidRDefault="00690447" w:rsidP="00690447">
      <w:pPr>
        <w:numPr>
          <w:ilvl w:val="1"/>
          <w:numId w:val="33"/>
        </w:numPr>
        <w:tabs>
          <w:tab w:val="left" w:pos="720"/>
        </w:tabs>
        <w:overflowPunct/>
        <w:autoSpaceDE/>
        <w:autoSpaceDN/>
        <w:adjustRightInd/>
        <w:spacing w:after="0"/>
        <w:textAlignment w:val="auto"/>
        <w:rPr>
          <w:i/>
          <w:sz w:val="22"/>
          <w:szCs w:val="22"/>
          <w:lang w:eastAsia="x-none"/>
        </w:rPr>
      </w:pPr>
      <w:r w:rsidRPr="00690447">
        <w:rPr>
          <w:i/>
          <w:sz w:val="22"/>
          <w:szCs w:val="22"/>
          <w:lang w:eastAsia="x-none"/>
        </w:rPr>
        <w:t>FFS: how UL MIMO precoding design takes into account the above capability</w:t>
      </w:r>
    </w:p>
    <w:p w14:paraId="3925BA80" w14:textId="77777777" w:rsidR="00690447" w:rsidRDefault="00690447" w:rsidP="00026770">
      <w:pPr>
        <w:ind w:firstLine="284"/>
        <w:jc w:val="both"/>
        <w:rPr>
          <w:sz w:val="22"/>
          <w:szCs w:val="22"/>
          <w:lang w:eastAsia="zh-CN"/>
        </w:rPr>
      </w:pPr>
    </w:p>
    <w:p w14:paraId="59C21891" w14:textId="15CF6FA0" w:rsidR="005D3897" w:rsidRDefault="005D3897" w:rsidP="00026770">
      <w:pPr>
        <w:ind w:firstLine="284"/>
        <w:jc w:val="both"/>
        <w:rPr>
          <w:sz w:val="22"/>
          <w:szCs w:val="22"/>
          <w:lang w:eastAsia="zh-CN"/>
        </w:rPr>
      </w:pPr>
      <w:r>
        <w:rPr>
          <w:sz w:val="22"/>
          <w:szCs w:val="22"/>
          <w:lang w:eastAsia="zh-CN"/>
        </w:rPr>
        <w:t>In RAN1 NR AH #3 meeting, the following agreements on uplink codebook based transmission have been achieved. [2]</w:t>
      </w:r>
    </w:p>
    <w:p w14:paraId="0167F27B" w14:textId="77777777" w:rsidR="005D3897" w:rsidRPr="005D3897" w:rsidRDefault="005D3897" w:rsidP="005D3897">
      <w:pPr>
        <w:rPr>
          <w:b/>
          <w:i/>
          <w:sz w:val="22"/>
          <w:szCs w:val="22"/>
          <w:lang w:eastAsia="x-none"/>
        </w:rPr>
      </w:pPr>
      <w:r w:rsidRPr="005D3897">
        <w:rPr>
          <w:b/>
          <w:i/>
          <w:sz w:val="22"/>
          <w:szCs w:val="22"/>
          <w:highlight w:val="green"/>
          <w:lang w:eastAsia="x-none"/>
        </w:rPr>
        <w:t>Agreement:</w:t>
      </w:r>
    </w:p>
    <w:p w14:paraId="0BCE100F" w14:textId="77777777" w:rsidR="005D3897" w:rsidRPr="005D3897" w:rsidRDefault="005D3897" w:rsidP="005D3897">
      <w:pPr>
        <w:numPr>
          <w:ilvl w:val="0"/>
          <w:numId w:val="34"/>
        </w:numPr>
        <w:tabs>
          <w:tab w:val="left" w:pos="1440"/>
        </w:tabs>
        <w:overflowPunct/>
        <w:autoSpaceDE/>
        <w:autoSpaceDN/>
        <w:adjustRightInd/>
        <w:spacing w:after="0"/>
        <w:textAlignment w:val="auto"/>
        <w:rPr>
          <w:i/>
          <w:sz w:val="22"/>
          <w:szCs w:val="22"/>
          <w:lang w:val="en-US" w:eastAsia="x-none"/>
        </w:rPr>
      </w:pPr>
      <w:r w:rsidRPr="005D3897">
        <w:rPr>
          <w:i/>
          <w:sz w:val="22"/>
          <w:szCs w:val="22"/>
          <w:lang w:val="en-US" w:eastAsia="x-none"/>
        </w:rPr>
        <w:t>For DFT-S-OFDM, support LTE 4Tx rank 1 UL codebook for TPMI 0-15</w:t>
      </w:r>
    </w:p>
    <w:p w14:paraId="7B4ACBD7" w14:textId="77777777" w:rsidR="005D3897" w:rsidRPr="005D3897" w:rsidRDefault="005D3897" w:rsidP="005D3897">
      <w:pPr>
        <w:numPr>
          <w:ilvl w:val="1"/>
          <w:numId w:val="34"/>
        </w:numPr>
        <w:overflowPunct/>
        <w:autoSpaceDE/>
        <w:autoSpaceDN/>
        <w:adjustRightInd/>
        <w:spacing w:after="0"/>
        <w:textAlignment w:val="auto"/>
        <w:rPr>
          <w:i/>
          <w:sz w:val="22"/>
          <w:szCs w:val="22"/>
          <w:lang w:val="en-US" w:eastAsia="x-none"/>
        </w:rPr>
      </w:pPr>
      <w:r w:rsidRPr="005D3897">
        <w:rPr>
          <w:i/>
          <w:sz w:val="22"/>
          <w:szCs w:val="22"/>
          <w:lang w:val="en-US" w:eastAsia="x-none"/>
        </w:rPr>
        <w:t>Additional codewords for antenna port selection will be also supported</w:t>
      </w:r>
    </w:p>
    <w:p w14:paraId="7F7AEBE1" w14:textId="77777777" w:rsidR="005D3897" w:rsidRPr="005D3897" w:rsidRDefault="005D3897" w:rsidP="005D3897">
      <w:pPr>
        <w:numPr>
          <w:ilvl w:val="1"/>
          <w:numId w:val="34"/>
        </w:numPr>
        <w:overflowPunct/>
        <w:autoSpaceDE/>
        <w:autoSpaceDN/>
        <w:adjustRightInd/>
        <w:spacing w:after="0"/>
        <w:textAlignment w:val="auto"/>
        <w:rPr>
          <w:i/>
          <w:sz w:val="22"/>
          <w:szCs w:val="22"/>
          <w:lang w:val="en-US" w:eastAsia="x-none"/>
        </w:rPr>
      </w:pPr>
      <w:r w:rsidRPr="005D3897">
        <w:rPr>
          <w:i/>
          <w:sz w:val="22"/>
          <w:szCs w:val="22"/>
          <w:lang w:val="en-US" w:eastAsia="x-none"/>
        </w:rPr>
        <w:t xml:space="preserve">FFS: Details on the additional codewords for antenna port selection (e.g. number of codewords, scale factors, </w:t>
      </w:r>
      <w:proofErr w:type="spellStart"/>
      <w:r w:rsidRPr="005D3897">
        <w:rPr>
          <w:i/>
          <w:sz w:val="22"/>
          <w:szCs w:val="22"/>
          <w:lang w:val="en-US" w:eastAsia="x-none"/>
        </w:rPr>
        <w:t>etc</w:t>
      </w:r>
      <w:proofErr w:type="spellEnd"/>
      <w:r w:rsidRPr="005D3897">
        <w:rPr>
          <w:i/>
          <w:sz w:val="22"/>
          <w:szCs w:val="22"/>
          <w:lang w:val="en-US" w:eastAsia="x-none"/>
        </w:rPr>
        <w:t>)</w:t>
      </w:r>
    </w:p>
    <w:p w14:paraId="3716D14B" w14:textId="77777777" w:rsidR="005D3897" w:rsidRPr="005D3897" w:rsidRDefault="005D3897" w:rsidP="00026770">
      <w:pPr>
        <w:ind w:firstLine="284"/>
        <w:jc w:val="both"/>
        <w:rPr>
          <w:sz w:val="22"/>
          <w:szCs w:val="22"/>
          <w:lang w:val="en-US" w:eastAsia="zh-CN"/>
        </w:rPr>
      </w:pPr>
    </w:p>
    <w:p w14:paraId="28D0451C" w14:textId="6B2E049B"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Pr>
          <w:sz w:val="22"/>
          <w:szCs w:val="22"/>
          <w:lang w:eastAsia="zh-CN"/>
        </w:rPr>
        <w:t xml:space="preserve">UL codebook design </w:t>
      </w:r>
      <w:r w:rsidR="00690447">
        <w:rPr>
          <w:sz w:val="22"/>
          <w:szCs w:val="22"/>
          <w:lang w:eastAsia="zh-CN"/>
        </w:rPr>
        <w:t xml:space="preserve">including the UE capability reporting, antenna selection for CP-OFDM, 4Tx codebook </w:t>
      </w:r>
      <w:r>
        <w:rPr>
          <w:sz w:val="22"/>
          <w:szCs w:val="22"/>
          <w:lang w:eastAsia="zh-CN"/>
        </w:rPr>
        <w:t>as well as the DL signalling to support UL frequency selective precoding.</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55A4BBE8" w:rsidR="006731E5" w:rsidRPr="006731E5" w:rsidRDefault="00873422" w:rsidP="00873422">
      <w:pPr>
        <w:pStyle w:val="Heading2"/>
        <w:rPr>
          <w:lang w:val="en-US" w:eastAsia="zh-CN"/>
        </w:rPr>
      </w:pPr>
      <w:r>
        <w:rPr>
          <w:lang w:val="en-US" w:eastAsia="zh-CN"/>
        </w:rPr>
        <w:t xml:space="preserve">2.1 </w:t>
      </w:r>
      <w:r w:rsidR="008A7CE5">
        <w:rPr>
          <w:lang w:val="en-US" w:eastAsia="zh-CN"/>
        </w:rPr>
        <w:t>U</w:t>
      </w:r>
      <w:r w:rsidR="00081534">
        <w:rPr>
          <w:lang w:val="en-US" w:eastAsia="zh-CN"/>
        </w:rPr>
        <w:t xml:space="preserve">E </w:t>
      </w:r>
      <w:r w:rsidR="00690447">
        <w:rPr>
          <w:lang w:val="en-US" w:eastAsia="zh-CN"/>
        </w:rPr>
        <w:t>Capability Reporting</w:t>
      </w:r>
    </w:p>
    <w:p w14:paraId="30410499" w14:textId="57ABD312" w:rsidR="00690447" w:rsidRDefault="00690447" w:rsidP="00AC7949">
      <w:pPr>
        <w:ind w:firstLine="284"/>
        <w:jc w:val="both"/>
        <w:rPr>
          <w:sz w:val="22"/>
          <w:szCs w:val="22"/>
          <w:lang w:val="en-US" w:eastAsia="zh-CN"/>
        </w:rPr>
      </w:pPr>
      <w:r>
        <w:rPr>
          <w:sz w:val="22"/>
          <w:szCs w:val="22"/>
          <w:lang w:val="en-US" w:eastAsia="zh-CN"/>
        </w:rPr>
        <w:t xml:space="preserve">Different UEs may have different antenna structures, where all the </w:t>
      </w:r>
      <w:proofErr w:type="gramStart"/>
      <w:r>
        <w:rPr>
          <w:sz w:val="22"/>
          <w:szCs w:val="22"/>
          <w:lang w:val="en-US" w:eastAsia="zh-CN"/>
        </w:rPr>
        <w:t>Tx</w:t>
      </w:r>
      <w:proofErr w:type="gramEnd"/>
      <w:r>
        <w:rPr>
          <w:sz w:val="22"/>
          <w:szCs w:val="22"/>
          <w:lang w:val="en-US" w:eastAsia="zh-CN"/>
        </w:rPr>
        <w:t xml:space="preserve"> antenna port(s) may come from the same antenna panel or different antenna panel with different orientations. </w:t>
      </w:r>
      <w:r w:rsidR="00F531A7">
        <w:rPr>
          <w:sz w:val="22"/>
          <w:szCs w:val="22"/>
          <w:lang w:val="en-US" w:eastAsia="zh-CN"/>
        </w:rPr>
        <w:t xml:space="preserve">The UE may select one antenna panel or multiple antenna panels to communicate with the gNB. </w:t>
      </w:r>
      <w:r>
        <w:rPr>
          <w:sz w:val="22"/>
          <w:szCs w:val="22"/>
          <w:lang w:val="en-US" w:eastAsia="zh-CN"/>
        </w:rPr>
        <w:t xml:space="preserve">It should be possible that the antenna ports for one antenna panel can support the coherent transmission. It is difficult to use coherent transmission across antenna panels due to different pathloss and </w:t>
      </w:r>
      <w:r w:rsidR="003172FB">
        <w:rPr>
          <w:sz w:val="22"/>
          <w:szCs w:val="22"/>
          <w:lang w:val="en-US" w:eastAsia="zh-CN"/>
        </w:rPr>
        <w:t>timing may be applied to different panels. Therefore it should be necessary to divide the UE’s antenna ports into multiple sub-sets. A UE can report its capability on number of antenna ports per s</w:t>
      </w:r>
      <w:r w:rsidR="007706CC">
        <w:rPr>
          <w:sz w:val="22"/>
          <w:szCs w:val="22"/>
          <w:lang w:val="en-US" w:eastAsia="zh-CN"/>
        </w:rPr>
        <w:t>ub</w:t>
      </w:r>
      <w:r w:rsidR="003172FB">
        <w:rPr>
          <w:sz w:val="22"/>
          <w:szCs w:val="22"/>
          <w:lang w:val="en-US" w:eastAsia="zh-CN"/>
        </w:rPr>
        <w:t>set and number of antenna ports sub-sets. Then the gNodeB can configure some codebook subset restriction to select corresponding codebooks for the UE.</w:t>
      </w:r>
    </w:p>
    <w:p w14:paraId="20A4FA31" w14:textId="5FB119F2" w:rsidR="00416468" w:rsidRDefault="00416468" w:rsidP="00AC7949">
      <w:pPr>
        <w:ind w:firstLine="284"/>
        <w:jc w:val="both"/>
        <w:rPr>
          <w:b/>
          <w:i/>
          <w:sz w:val="22"/>
          <w:szCs w:val="22"/>
          <w:lang w:val="en-US" w:eastAsia="zh-CN"/>
        </w:rPr>
      </w:pPr>
      <w:r>
        <w:rPr>
          <w:rFonts w:hint="eastAsia"/>
          <w:b/>
          <w:i/>
          <w:sz w:val="22"/>
          <w:szCs w:val="22"/>
          <w:lang w:val="en-US" w:eastAsia="zh-CN"/>
        </w:rPr>
        <w:t>Proposa</w:t>
      </w:r>
      <w:r>
        <w:rPr>
          <w:b/>
          <w:i/>
          <w:sz w:val="22"/>
          <w:szCs w:val="22"/>
          <w:lang w:val="en-US" w:eastAsia="zh-CN"/>
        </w:rPr>
        <w:t xml:space="preserve">l 1: </w:t>
      </w:r>
      <w:r w:rsidR="003172FB">
        <w:rPr>
          <w:b/>
          <w:i/>
          <w:sz w:val="22"/>
          <w:szCs w:val="22"/>
          <w:lang w:val="en-US" w:eastAsia="zh-CN"/>
        </w:rPr>
        <w:t>It should be supported that the UE reports its number of antenna ports per subset and number of antenna ports subsets, where the antenna ports in a sub-sets can support coherent transmission.</w:t>
      </w:r>
    </w:p>
    <w:p w14:paraId="07EFD6EA" w14:textId="5D02639E" w:rsidR="00081534" w:rsidRPr="00081534" w:rsidRDefault="00873422" w:rsidP="00873422">
      <w:pPr>
        <w:pStyle w:val="Heading2"/>
        <w:rPr>
          <w:lang w:val="en-US" w:eastAsia="zh-CN"/>
        </w:rPr>
      </w:pPr>
      <w:r>
        <w:rPr>
          <w:lang w:val="en-US" w:eastAsia="zh-CN"/>
        </w:rPr>
        <w:t xml:space="preserve">2.2 </w:t>
      </w:r>
      <w:r w:rsidR="00C61B02">
        <w:rPr>
          <w:lang w:val="en-US" w:eastAsia="zh-CN"/>
        </w:rPr>
        <w:t>Control Signaling for Antenna Selection</w:t>
      </w:r>
    </w:p>
    <w:p w14:paraId="75C85420" w14:textId="77777777" w:rsidR="007706CC" w:rsidRDefault="007706CC" w:rsidP="007777C3">
      <w:pPr>
        <w:ind w:firstLine="284"/>
        <w:jc w:val="both"/>
        <w:rPr>
          <w:sz w:val="22"/>
          <w:szCs w:val="22"/>
          <w:lang w:val="en-US" w:eastAsia="zh-CN"/>
        </w:rPr>
      </w:pPr>
      <w:r>
        <w:rPr>
          <w:sz w:val="22"/>
          <w:szCs w:val="22"/>
          <w:lang w:val="en-US" w:eastAsia="zh-CN"/>
        </w:rPr>
        <w:t>If the number of antenna ports per subset is more than 1, the antenna combining should be utilized. If the number of antenna ports subsets is more than 1, the antenna selection should be used. Therefore the UL codebook based transmission should support both antenna combining and antenna selection. For the antenna selection, there can be two alternatives as follows:</w:t>
      </w:r>
    </w:p>
    <w:p w14:paraId="211349C4" w14:textId="4FBAFE4E" w:rsidR="007706CC" w:rsidRDefault="007706CC" w:rsidP="007777C3">
      <w:pPr>
        <w:ind w:firstLine="284"/>
        <w:jc w:val="both"/>
        <w:rPr>
          <w:sz w:val="22"/>
          <w:szCs w:val="22"/>
          <w:lang w:val="en-US" w:eastAsia="zh-CN"/>
        </w:rPr>
      </w:pPr>
      <w:r>
        <w:rPr>
          <w:rFonts w:hint="eastAsia"/>
          <w:sz w:val="22"/>
          <w:szCs w:val="22"/>
          <w:lang w:val="en-US" w:eastAsia="zh-CN"/>
        </w:rPr>
        <w:t>Alt</w:t>
      </w:r>
      <w:r>
        <w:rPr>
          <w:sz w:val="22"/>
          <w:szCs w:val="22"/>
          <w:lang w:val="en-US" w:eastAsia="zh-CN"/>
        </w:rPr>
        <w:t>1: antenna selection is indicated by TPMI</w:t>
      </w:r>
    </w:p>
    <w:p w14:paraId="638AE443" w14:textId="579A2645" w:rsidR="007706CC" w:rsidRDefault="007706CC" w:rsidP="007777C3">
      <w:pPr>
        <w:ind w:firstLine="284"/>
        <w:jc w:val="both"/>
        <w:rPr>
          <w:sz w:val="22"/>
          <w:szCs w:val="22"/>
          <w:lang w:val="en-US" w:eastAsia="zh-CN"/>
        </w:rPr>
      </w:pPr>
      <w:r>
        <w:rPr>
          <w:sz w:val="22"/>
          <w:szCs w:val="22"/>
          <w:lang w:val="en-US" w:eastAsia="zh-CN"/>
        </w:rPr>
        <w:t>Alt2: antenna selection is indicated by SRI</w:t>
      </w:r>
    </w:p>
    <w:p w14:paraId="7695C664" w14:textId="54D772C6" w:rsidR="007777C3" w:rsidRDefault="00CE5086" w:rsidP="007777C3">
      <w:pPr>
        <w:ind w:firstLine="284"/>
        <w:jc w:val="both"/>
        <w:rPr>
          <w:sz w:val="22"/>
          <w:szCs w:val="22"/>
          <w:lang w:val="en-US" w:eastAsia="zh-CN"/>
        </w:rPr>
      </w:pPr>
      <w:r>
        <w:rPr>
          <w:sz w:val="22"/>
          <w:szCs w:val="22"/>
          <w:lang w:val="en-US" w:eastAsia="zh-CN"/>
        </w:rPr>
        <w:t xml:space="preserve">Given there are </w:t>
      </w:r>
      <w:r w:rsidRPr="00CE5086">
        <w:rPr>
          <w:i/>
          <w:sz w:val="22"/>
          <w:szCs w:val="22"/>
          <w:lang w:val="en-US" w:eastAsia="zh-CN"/>
        </w:rPr>
        <w:t xml:space="preserve">N </w:t>
      </w:r>
      <w:r>
        <w:rPr>
          <w:sz w:val="22"/>
          <w:szCs w:val="22"/>
          <w:lang w:val="en-US" w:eastAsia="zh-CN"/>
        </w:rPr>
        <w:t xml:space="preserve">antenna ports per subset and </w:t>
      </w:r>
      <w:r w:rsidRPr="00CE5086">
        <w:rPr>
          <w:i/>
          <w:sz w:val="22"/>
          <w:szCs w:val="22"/>
          <w:lang w:val="en-US" w:eastAsia="zh-CN"/>
        </w:rPr>
        <w:t>S</w:t>
      </w:r>
      <w:r>
        <w:rPr>
          <w:sz w:val="22"/>
          <w:szCs w:val="22"/>
          <w:lang w:val="en-US" w:eastAsia="zh-CN"/>
        </w:rPr>
        <w:t xml:space="preserve"> antenna ports subsets</w:t>
      </w:r>
      <w:r w:rsidR="00360986">
        <w:rPr>
          <w:sz w:val="22"/>
          <w:szCs w:val="22"/>
          <w:lang w:val="en-US" w:eastAsia="zh-CN"/>
        </w:rPr>
        <w:t>:</w:t>
      </w:r>
      <w:r>
        <w:rPr>
          <w:sz w:val="22"/>
          <w:szCs w:val="22"/>
          <w:lang w:val="en-US" w:eastAsia="zh-CN"/>
        </w:rPr>
        <w:t xml:space="preserve"> in Alt1, the UE </w:t>
      </w:r>
      <w:r w:rsidR="00360986">
        <w:rPr>
          <w:sz w:val="22"/>
          <w:szCs w:val="22"/>
          <w:lang w:val="en-US" w:eastAsia="zh-CN"/>
        </w:rPr>
        <w:t>can</w:t>
      </w:r>
      <w:r>
        <w:rPr>
          <w:sz w:val="22"/>
          <w:szCs w:val="22"/>
          <w:lang w:val="en-US" w:eastAsia="zh-CN"/>
        </w:rPr>
        <w:t xml:space="preserve"> transmit </w:t>
      </w:r>
      <w:r w:rsidRPr="00360986">
        <w:rPr>
          <w:i/>
          <w:sz w:val="22"/>
          <w:szCs w:val="22"/>
          <w:lang w:val="en-US" w:eastAsia="zh-CN"/>
        </w:rPr>
        <w:t>S</w:t>
      </w:r>
      <w:r>
        <w:rPr>
          <w:sz w:val="22"/>
          <w:szCs w:val="22"/>
          <w:lang w:val="en-US" w:eastAsia="zh-CN"/>
        </w:rPr>
        <w:t xml:space="preserve"> SRS resource with </w:t>
      </w:r>
      <w:r w:rsidRPr="00360986">
        <w:rPr>
          <w:i/>
          <w:sz w:val="22"/>
          <w:szCs w:val="22"/>
          <w:lang w:val="en-US" w:eastAsia="zh-CN"/>
        </w:rPr>
        <w:t>N</w:t>
      </w:r>
      <w:r>
        <w:rPr>
          <w:sz w:val="22"/>
          <w:szCs w:val="22"/>
          <w:lang w:val="en-US" w:eastAsia="zh-CN"/>
        </w:rPr>
        <w:t xml:space="preserve"> antenna ports</w:t>
      </w:r>
      <w:r w:rsidR="00360986">
        <w:rPr>
          <w:sz w:val="22"/>
          <w:szCs w:val="22"/>
          <w:lang w:val="en-US" w:eastAsia="zh-CN"/>
        </w:rPr>
        <w:t xml:space="preserve"> per resource. Then </w:t>
      </w:r>
      <w:r w:rsidR="00360986" w:rsidRPr="00360986">
        <w:rPr>
          <w:i/>
          <w:sz w:val="22"/>
          <w:szCs w:val="22"/>
          <w:lang w:val="en-US" w:eastAsia="zh-CN"/>
        </w:rPr>
        <w:t>S</w:t>
      </w:r>
      <w:r w:rsidR="00360986">
        <w:rPr>
          <w:sz w:val="22"/>
          <w:szCs w:val="22"/>
          <w:lang w:val="en-US" w:eastAsia="zh-CN"/>
        </w:rPr>
        <w:t xml:space="preserve"> SRS resource setting should be used; in Alt2, the UE can transmit </w:t>
      </w:r>
      <w:r w:rsidR="00360986" w:rsidRPr="00360986">
        <w:rPr>
          <w:i/>
          <w:sz w:val="22"/>
          <w:szCs w:val="22"/>
          <w:lang w:val="en-US" w:eastAsia="zh-CN"/>
        </w:rPr>
        <w:t>SN</w:t>
      </w:r>
      <w:r w:rsidR="00360986">
        <w:rPr>
          <w:sz w:val="22"/>
          <w:szCs w:val="22"/>
          <w:lang w:val="en-US" w:eastAsia="zh-CN"/>
        </w:rPr>
        <w:t xml:space="preserve"> SRS with 1 antenna port per resource, then </w:t>
      </w:r>
      <w:r w:rsidR="00360986" w:rsidRPr="00360986">
        <w:rPr>
          <w:i/>
          <w:sz w:val="22"/>
          <w:szCs w:val="22"/>
          <w:lang w:val="en-US" w:eastAsia="zh-CN"/>
        </w:rPr>
        <w:t>SN</w:t>
      </w:r>
      <w:r w:rsidR="00360986">
        <w:rPr>
          <w:sz w:val="22"/>
          <w:szCs w:val="22"/>
          <w:lang w:val="en-US" w:eastAsia="zh-CN"/>
        </w:rPr>
        <w:t xml:space="preserve"> SRS resource setting should be used.</w:t>
      </w:r>
      <w:r w:rsidR="00ED4BEA">
        <w:rPr>
          <w:sz w:val="22"/>
          <w:szCs w:val="22"/>
          <w:lang w:val="en-US" w:eastAsia="zh-CN"/>
        </w:rPr>
        <w:t xml:space="preserve"> If there are </w:t>
      </w:r>
      <w:r w:rsidR="00ED4BEA" w:rsidRPr="00ED4BEA">
        <w:rPr>
          <w:i/>
          <w:sz w:val="22"/>
          <w:szCs w:val="22"/>
          <w:lang w:val="en-US" w:eastAsia="zh-CN"/>
        </w:rPr>
        <w:t>P</w:t>
      </w:r>
      <w:r w:rsidR="00ED4BEA">
        <w:rPr>
          <w:sz w:val="22"/>
          <w:szCs w:val="22"/>
          <w:lang w:val="en-US" w:eastAsia="zh-CN"/>
        </w:rPr>
        <w:t xml:space="preserve"> precoders for </w:t>
      </w:r>
      <w:r w:rsidR="00ED4BEA" w:rsidRPr="00ED4BEA">
        <w:rPr>
          <w:i/>
          <w:sz w:val="22"/>
          <w:szCs w:val="22"/>
          <w:lang w:val="en-US" w:eastAsia="zh-CN"/>
        </w:rPr>
        <w:t>N</w:t>
      </w:r>
      <w:r w:rsidR="00ED4BEA">
        <w:rPr>
          <w:sz w:val="22"/>
          <w:szCs w:val="22"/>
          <w:lang w:val="en-US" w:eastAsia="zh-CN"/>
        </w:rPr>
        <w:t xml:space="preserve"> antenna ports case, the total payload size for Alt1 is </w:t>
      </w:r>
      <m:oMath>
        <m:d>
          <m:dPr>
            <m:begChr m:val="⌈"/>
            <m:endChr m:val="⌉"/>
            <m:ctrlPr>
              <w:rPr>
                <w:rFonts w:ascii="Cambria Math" w:hAnsi="Cambria Math"/>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S</m:t>
                </m:r>
              </m:e>
            </m:func>
          </m:e>
        </m:d>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NP</m:t>
                </m:r>
              </m:e>
            </m:func>
          </m:e>
        </m:d>
      </m:oMath>
      <w:r w:rsidR="00ED4BEA">
        <w:rPr>
          <w:rFonts w:hint="eastAsia"/>
          <w:sz w:val="22"/>
          <w:szCs w:val="22"/>
          <w:lang w:val="en-US" w:eastAsia="zh-CN"/>
        </w:rPr>
        <w:t xml:space="preserve"> and </w:t>
      </w:r>
      <w:r w:rsidR="00ED4BEA">
        <w:rPr>
          <w:sz w:val="22"/>
          <w:szCs w:val="22"/>
          <w:lang w:val="en-US" w:eastAsia="zh-CN"/>
        </w:rPr>
        <w:t xml:space="preserve">the total payload size for Alt2 </w:t>
      </w:r>
      <w:proofErr w:type="gramStart"/>
      <w:r w:rsidR="00ED4BEA">
        <w:rPr>
          <w:sz w:val="22"/>
          <w:szCs w:val="22"/>
          <w:lang w:val="en-US" w:eastAsia="zh-CN"/>
        </w:rPr>
        <w:t xml:space="preserve">is </w:t>
      </w:r>
      <w:proofErr w:type="gramEnd"/>
      <m:oMath>
        <m:d>
          <m:dPr>
            <m:begChr m:val="⌈"/>
            <m:endChr m:val="⌉"/>
            <m:ctrlPr>
              <w:rPr>
                <w:rFonts w:ascii="Cambria Math" w:hAnsi="Cambria Math"/>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SN</m:t>
                </m:r>
              </m:e>
            </m:func>
          </m:e>
        </m:d>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func>
              <m:funcPr>
                <m:ctrlPr>
                  <w:rPr>
                    <w:rFonts w:ascii="Cambria Math" w:hAnsi="Cambria Math"/>
                    <w:i/>
                    <w:sz w:val="22"/>
                    <w:szCs w:val="22"/>
                    <w:lang w:val="en-US" w:eastAsia="zh-CN"/>
                  </w:rPr>
                </m:ctrlPr>
              </m:funcPr>
              <m:fName>
                <m:sSub>
                  <m:sSubPr>
                    <m:ctrlPr>
                      <w:rPr>
                        <w:rFonts w:ascii="Cambria Math" w:hAnsi="Cambria Math"/>
                        <w:i/>
                        <w:sz w:val="22"/>
                        <w:szCs w:val="22"/>
                        <w:lang w:val="en-US" w:eastAsia="zh-CN"/>
                      </w:rPr>
                    </m:ctrlPr>
                  </m:sSubPr>
                  <m:e>
                    <m:r>
                      <m:rPr>
                        <m:sty m:val="p"/>
                      </m:rPr>
                      <w:rPr>
                        <w:rFonts w:ascii="Cambria Math" w:hAnsi="Cambria Math"/>
                        <w:sz w:val="22"/>
                        <w:szCs w:val="22"/>
                        <w:lang w:val="en-US" w:eastAsia="zh-CN"/>
                      </w:rPr>
                      <m:t>log</m:t>
                    </m:r>
                    <m:ctrlPr>
                      <w:rPr>
                        <w:rFonts w:ascii="Cambria Math" w:hAnsi="Cambria Math"/>
                        <w:sz w:val="22"/>
                        <w:szCs w:val="22"/>
                        <w:lang w:val="en-US" w:eastAsia="zh-CN"/>
                      </w:rPr>
                    </m:ctrlPr>
                  </m:e>
                  <m:sub>
                    <m:r>
                      <w:rPr>
                        <w:rFonts w:ascii="Cambria Math" w:hAnsi="Cambria Math"/>
                        <w:sz w:val="22"/>
                        <w:szCs w:val="22"/>
                        <w:lang w:val="en-US" w:eastAsia="zh-CN"/>
                      </w:rPr>
                      <m:t>2</m:t>
                    </m:r>
                    <m:ctrlPr>
                      <w:rPr>
                        <w:rFonts w:ascii="Cambria Math" w:hAnsi="Cambria Math"/>
                        <w:sz w:val="22"/>
                        <w:szCs w:val="22"/>
                        <w:lang w:val="en-US" w:eastAsia="zh-CN"/>
                      </w:rPr>
                    </m:ctrlPr>
                  </m:sub>
                </m:sSub>
              </m:fName>
              <m:e>
                <m:r>
                  <w:rPr>
                    <w:rFonts w:ascii="Cambria Math" w:hAnsi="Cambria Math"/>
                    <w:sz w:val="22"/>
                    <w:szCs w:val="22"/>
                    <w:lang w:val="en-US" w:eastAsia="zh-CN"/>
                  </w:rPr>
                  <m:t>P</m:t>
                </m:r>
              </m:e>
            </m:func>
          </m:e>
        </m:d>
      </m:oMath>
      <w:r w:rsidR="00ED4BEA">
        <w:rPr>
          <w:rFonts w:hint="eastAsia"/>
          <w:sz w:val="22"/>
          <w:szCs w:val="22"/>
          <w:lang w:val="en-US" w:eastAsia="zh-CN"/>
        </w:rPr>
        <w:t>.</w:t>
      </w:r>
      <w:r w:rsidR="00ED4BEA">
        <w:rPr>
          <w:sz w:val="22"/>
          <w:szCs w:val="22"/>
          <w:lang w:val="en-US" w:eastAsia="zh-CN"/>
        </w:rPr>
        <w:t xml:space="preserve"> </w:t>
      </w:r>
    </w:p>
    <w:p w14:paraId="685AFD41" w14:textId="6D830B03" w:rsidR="00ED4BEA" w:rsidRDefault="00ED4BEA" w:rsidP="007777C3">
      <w:pPr>
        <w:ind w:firstLine="284"/>
        <w:jc w:val="both"/>
        <w:rPr>
          <w:sz w:val="22"/>
          <w:szCs w:val="22"/>
          <w:lang w:val="en-US" w:eastAsia="zh-CN"/>
        </w:rPr>
      </w:pPr>
      <w:r>
        <w:rPr>
          <w:sz w:val="22"/>
          <w:szCs w:val="22"/>
          <w:lang w:val="en-US" w:eastAsia="zh-CN"/>
        </w:rPr>
        <w:lastRenderedPageBreak/>
        <w:t>If there are 2 antenna ports per subset and 2 antenna ports subsets, by the agreed codebook for 2Tx case, Table 1 illustrates the overhead of the DCI and RRC configuration</w:t>
      </w:r>
      <w:r w:rsidR="00B634C4">
        <w:rPr>
          <w:sz w:val="22"/>
          <w:szCs w:val="22"/>
          <w:lang w:val="en-US" w:eastAsia="zh-CN"/>
        </w:rPr>
        <w:t xml:space="preserve">, where K indicates the number of bits for a SRS resource setting. </w:t>
      </w:r>
    </w:p>
    <w:p w14:paraId="2E5397C3" w14:textId="2CD48F5C" w:rsidR="00ED4BEA" w:rsidRPr="00B634C4" w:rsidRDefault="00ED4BEA" w:rsidP="00B634C4">
      <w:pPr>
        <w:ind w:firstLine="284"/>
        <w:jc w:val="center"/>
        <w:rPr>
          <w:b/>
          <w:sz w:val="22"/>
          <w:szCs w:val="22"/>
          <w:lang w:val="en-US" w:eastAsia="zh-CN"/>
        </w:rPr>
      </w:pPr>
      <w:r w:rsidRPr="00B634C4">
        <w:rPr>
          <w:b/>
          <w:sz w:val="22"/>
          <w:szCs w:val="22"/>
          <w:lang w:val="en-US" w:eastAsia="zh-CN"/>
        </w:rPr>
        <w:t xml:space="preserve">Table 1: Overhead comparison of DCI and RRC configuration for </w:t>
      </w:r>
      <w:r w:rsidR="00111169">
        <w:rPr>
          <w:b/>
          <w:sz w:val="22"/>
          <w:szCs w:val="22"/>
          <w:lang w:val="en-US" w:eastAsia="zh-CN"/>
        </w:rPr>
        <w:t>N=2 and S=2</w:t>
      </w:r>
    </w:p>
    <w:tbl>
      <w:tblPr>
        <w:tblStyle w:val="GridTable4-Accent5"/>
        <w:tblW w:w="0" w:type="auto"/>
        <w:jc w:val="center"/>
        <w:tblLook w:val="04A0" w:firstRow="1" w:lastRow="0" w:firstColumn="1" w:lastColumn="0" w:noHBand="0" w:noVBand="1"/>
      </w:tblPr>
      <w:tblGrid>
        <w:gridCol w:w="2132"/>
        <w:gridCol w:w="2889"/>
        <w:gridCol w:w="2889"/>
      </w:tblGrid>
      <w:tr w:rsidR="00ED4BEA" w14:paraId="4887EF28" w14:textId="77777777" w:rsidTr="00B634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0A17AA43" w14:textId="77777777" w:rsidR="00ED4BEA" w:rsidRDefault="00ED4BEA" w:rsidP="00B634C4">
            <w:pPr>
              <w:jc w:val="center"/>
              <w:rPr>
                <w:sz w:val="22"/>
                <w:szCs w:val="22"/>
                <w:lang w:val="en-US" w:eastAsia="zh-CN"/>
              </w:rPr>
            </w:pPr>
          </w:p>
        </w:tc>
        <w:tc>
          <w:tcPr>
            <w:tcW w:w="2889" w:type="dxa"/>
          </w:tcPr>
          <w:p w14:paraId="48EB7E51" w14:textId="57E4CE44" w:rsidR="00ED4BEA" w:rsidRDefault="00ED4BEA" w:rsidP="00B634C4">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Alt 1 (number of bits)</w:t>
            </w:r>
          </w:p>
        </w:tc>
        <w:tc>
          <w:tcPr>
            <w:tcW w:w="2889" w:type="dxa"/>
          </w:tcPr>
          <w:p w14:paraId="0D59C930" w14:textId="2185552D" w:rsidR="00ED4BEA" w:rsidRDefault="00ED4BEA" w:rsidP="00B634C4">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Al</w:t>
            </w:r>
            <w:r>
              <w:rPr>
                <w:sz w:val="22"/>
                <w:szCs w:val="22"/>
                <w:lang w:val="en-US" w:eastAsia="zh-CN"/>
              </w:rPr>
              <w:t>t 2 (number of bits)</w:t>
            </w:r>
          </w:p>
        </w:tc>
      </w:tr>
      <w:tr w:rsidR="00ED4BEA" w14:paraId="78A25090" w14:textId="77777777" w:rsidTr="00B634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21EEBEA1" w14:textId="240BA6DC" w:rsidR="00ED4BEA" w:rsidRDefault="00ED4BEA" w:rsidP="00B634C4">
            <w:pPr>
              <w:jc w:val="center"/>
              <w:rPr>
                <w:sz w:val="22"/>
                <w:szCs w:val="22"/>
                <w:lang w:val="en-US" w:eastAsia="zh-CN"/>
              </w:rPr>
            </w:pPr>
            <w:r>
              <w:rPr>
                <w:rFonts w:hint="eastAsia"/>
                <w:sz w:val="22"/>
                <w:szCs w:val="22"/>
                <w:lang w:val="en-US" w:eastAsia="zh-CN"/>
              </w:rPr>
              <w:t>SRI</w:t>
            </w:r>
          </w:p>
        </w:tc>
        <w:tc>
          <w:tcPr>
            <w:tcW w:w="2889" w:type="dxa"/>
          </w:tcPr>
          <w:p w14:paraId="5F13EBF2" w14:textId="76A9A5F2"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889" w:type="dxa"/>
          </w:tcPr>
          <w:p w14:paraId="1A4F8B5E" w14:textId="213CDA1D"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2</w:t>
            </w:r>
          </w:p>
        </w:tc>
      </w:tr>
      <w:tr w:rsidR="00ED4BEA" w14:paraId="0AA32671" w14:textId="77777777" w:rsidTr="00B634C4">
        <w:trPr>
          <w:jc w:val="center"/>
        </w:trPr>
        <w:tc>
          <w:tcPr>
            <w:cnfStyle w:val="001000000000" w:firstRow="0" w:lastRow="0" w:firstColumn="1" w:lastColumn="0" w:oddVBand="0" w:evenVBand="0" w:oddHBand="0" w:evenHBand="0" w:firstRowFirstColumn="0" w:firstRowLastColumn="0" w:lastRowFirstColumn="0" w:lastRowLastColumn="0"/>
            <w:tcW w:w="2132" w:type="dxa"/>
          </w:tcPr>
          <w:p w14:paraId="05F9A618" w14:textId="6E0D11AC" w:rsidR="00ED4BEA" w:rsidRDefault="00ED4BEA" w:rsidP="00B634C4">
            <w:pPr>
              <w:jc w:val="center"/>
              <w:rPr>
                <w:sz w:val="22"/>
                <w:szCs w:val="22"/>
                <w:lang w:val="en-US" w:eastAsia="zh-CN"/>
              </w:rPr>
            </w:pPr>
            <w:r>
              <w:rPr>
                <w:rFonts w:hint="eastAsia"/>
                <w:sz w:val="22"/>
                <w:szCs w:val="22"/>
                <w:lang w:val="en-US" w:eastAsia="zh-CN"/>
              </w:rPr>
              <w:t>TRI</w:t>
            </w:r>
          </w:p>
        </w:tc>
        <w:tc>
          <w:tcPr>
            <w:tcW w:w="2889" w:type="dxa"/>
          </w:tcPr>
          <w:p w14:paraId="55658AE8" w14:textId="655019B1"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889" w:type="dxa"/>
          </w:tcPr>
          <w:p w14:paraId="338EDC38" w14:textId="3688455B"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r>
      <w:tr w:rsidR="00ED4BEA" w14:paraId="6F78979E" w14:textId="77777777" w:rsidTr="00B634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30066537" w14:textId="066BE5D4" w:rsidR="00ED4BEA" w:rsidRDefault="00ED4BEA" w:rsidP="00B634C4">
            <w:pPr>
              <w:jc w:val="center"/>
              <w:rPr>
                <w:sz w:val="22"/>
                <w:szCs w:val="22"/>
                <w:lang w:val="en-US" w:eastAsia="zh-CN"/>
              </w:rPr>
            </w:pPr>
            <w:r>
              <w:rPr>
                <w:rFonts w:hint="eastAsia"/>
                <w:sz w:val="22"/>
                <w:szCs w:val="22"/>
                <w:lang w:val="en-US" w:eastAsia="zh-CN"/>
              </w:rPr>
              <w:t>TPMI</w:t>
            </w:r>
          </w:p>
        </w:tc>
        <w:tc>
          <w:tcPr>
            <w:tcW w:w="2889" w:type="dxa"/>
          </w:tcPr>
          <w:p w14:paraId="0065B03F" w14:textId="3CD1585F"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4</w:t>
            </w:r>
          </w:p>
        </w:tc>
        <w:tc>
          <w:tcPr>
            <w:tcW w:w="2889" w:type="dxa"/>
          </w:tcPr>
          <w:p w14:paraId="58271C61" w14:textId="7162CF28"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w:t>
            </w:r>
          </w:p>
        </w:tc>
      </w:tr>
      <w:tr w:rsidR="00ED4BEA" w14:paraId="5CAE4768" w14:textId="77777777" w:rsidTr="00B634C4">
        <w:trPr>
          <w:jc w:val="center"/>
        </w:trPr>
        <w:tc>
          <w:tcPr>
            <w:cnfStyle w:val="001000000000" w:firstRow="0" w:lastRow="0" w:firstColumn="1" w:lastColumn="0" w:oddVBand="0" w:evenVBand="0" w:oddHBand="0" w:evenHBand="0" w:firstRowFirstColumn="0" w:firstRowLastColumn="0" w:lastRowFirstColumn="0" w:lastRowLastColumn="0"/>
            <w:tcW w:w="2132" w:type="dxa"/>
          </w:tcPr>
          <w:p w14:paraId="005D8396" w14:textId="4A3D7C41" w:rsidR="00ED4BEA" w:rsidRDefault="00ED4BEA" w:rsidP="00B634C4">
            <w:pPr>
              <w:jc w:val="center"/>
              <w:rPr>
                <w:sz w:val="22"/>
                <w:szCs w:val="22"/>
                <w:lang w:val="en-US" w:eastAsia="zh-CN"/>
              </w:rPr>
            </w:pPr>
            <w:r>
              <w:rPr>
                <w:rFonts w:hint="eastAsia"/>
                <w:sz w:val="22"/>
                <w:szCs w:val="22"/>
                <w:lang w:val="en-US" w:eastAsia="zh-CN"/>
              </w:rPr>
              <w:t>To</w:t>
            </w:r>
            <w:r>
              <w:rPr>
                <w:sz w:val="22"/>
                <w:szCs w:val="22"/>
                <w:lang w:val="en-US" w:eastAsia="zh-CN"/>
              </w:rPr>
              <w:t>tal bits in DCI</w:t>
            </w:r>
          </w:p>
        </w:tc>
        <w:tc>
          <w:tcPr>
            <w:tcW w:w="2889" w:type="dxa"/>
          </w:tcPr>
          <w:p w14:paraId="1E8DB649" w14:textId="298D34B0"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6</w:t>
            </w:r>
          </w:p>
        </w:tc>
        <w:tc>
          <w:tcPr>
            <w:tcW w:w="2889" w:type="dxa"/>
          </w:tcPr>
          <w:p w14:paraId="3D96C91E" w14:textId="74C37CBD" w:rsidR="00ED4BEA" w:rsidRDefault="00B634C4" w:rsidP="00B634C4">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6</w:t>
            </w:r>
          </w:p>
        </w:tc>
      </w:tr>
      <w:tr w:rsidR="00ED4BEA" w14:paraId="23414C54" w14:textId="77777777" w:rsidTr="00B634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32" w:type="dxa"/>
          </w:tcPr>
          <w:p w14:paraId="0716626D" w14:textId="353B2E91" w:rsidR="00ED4BEA" w:rsidRDefault="00ED4BEA" w:rsidP="00B634C4">
            <w:pPr>
              <w:jc w:val="center"/>
              <w:rPr>
                <w:sz w:val="22"/>
                <w:szCs w:val="22"/>
                <w:lang w:val="en-US" w:eastAsia="zh-CN"/>
              </w:rPr>
            </w:pPr>
            <w:r>
              <w:rPr>
                <w:sz w:val="22"/>
                <w:szCs w:val="22"/>
                <w:lang w:val="en-US" w:eastAsia="zh-CN"/>
              </w:rPr>
              <w:t>RRC configuration</w:t>
            </w:r>
          </w:p>
        </w:tc>
        <w:tc>
          <w:tcPr>
            <w:tcW w:w="2889" w:type="dxa"/>
          </w:tcPr>
          <w:p w14:paraId="00CAA6D3" w14:textId="0CB1C42C"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2K</w:t>
            </w:r>
          </w:p>
        </w:tc>
        <w:tc>
          <w:tcPr>
            <w:tcW w:w="2889" w:type="dxa"/>
          </w:tcPr>
          <w:p w14:paraId="796E9B1B" w14:textId="4981981A" w:rsidR="00ED4BEA" w:rsidRDefault="00B634C4" w:rsidP="00B634C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4K</w:t>
            </w:r>
          </w:p>
        </w:tc>
      </w:tr>
    </w:tbl>
    <w:p w14:paraId="388AF7D3" w14:textId="77777777" w:rsidR="00ED4BEA" w:rsidRDefault="00ED4BEA" w:rsidP="007777C3">
      <w:pPr>
        <w:ind w:firstLine="284"/>
        <w:jc w:val="both"/>
        <w:rPr>
          <w:sz w:val="22"/>
          <w:szCs w:val="22"/>
          <w:lang w:val="en-US" w:eastAsia="zh-CN"/>
        </w:rPr>
      </w:pPr>
    </w:p>
    <w:p w14:paraId="574A5A64" w14:textId="512C5AFD" w:rsidR="00B634C4" w:rsidRDefault="00B634C4" w:rsidP="007777C3">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rom </w:t>
      </w:r>
      <w:r>
        <w:rPr>
          <w:sz w:val="22"/>
          <w:szCs w:val="22"/>
          <w:lang w:val="en-US" w:eastAsia="zh-CN"/>
        </w:rPr>
        <w:t>Table 1 it can be observed that the overhead in DCI for Alt1 and Alt2 is the same, but the payload size of RRC signaling for Alt2 is higher than that for Alt1.</w:t>
      </w:r>
      <w:r w:rsidR="00BE1382">
        <w:rPr>
          <w:sz w:val="22"/>
          <w:szCs w:val="22"/>
          <w:lang w:val="en-US" w:eastAsia="zh-CN"/>
        </w:rPr>
        <w:t xml:space="preserve"> Hence, regarding the overhead of all control signaling, the Alt1 is slightly preferred.</w:t>
      </w:r>
    </w:p>
    <w:p w14:paraId="2DAB882F" w14:textId="65989D5C" w:rsidR="00BE1382" w:rsidRDefault="00BE1382" w:rsidP="007777C3">
      <w:pPr>
        <w:ind w:firstLine="284"/>
        <w:jc w:val="both"/>
        <w:rPr>
          <w:sz w:val="22"/>
          <w:szCs w:val="22"/>
          <w:lang w:val="en-US" w:eastAsia="zh-CN"/>
        </w:rPr>
      </w:pPr>
      <w:r>
        <w:rPr>
          <w:sz w:val="22"/>
          <w:szCs w:val="22"/>
          <w:lang w:val="en-US" w:eastAsia="zh-CN"/>
        </w:rPr>
        <w:t xml:space="preserve">Further, regarding some forward compatibility, more antenna ports may be used in the UE side. </w:t>
      </w:r>
      <w:r w:rsidR="00111169">
        <w:rPr>
          <w:sz w:val="22"/>
          <w:szCs w:val="22"/>
          <w:lang w:val="en-US" w:eastAsia="zh-CN"/>
        </w:rPr>
        <w:t xml:space="preserve">For example, a UE may have 3 antenna panels: 1 omnidirectional antenna panel and 2 directional antenna panels. Then the parameters should be N=2 and S=3. </w:t>
      </w:r>
      <w:r w:rsidR="00C61B02">
        <w:rPr>
          <w:sz w:val="22"/>
          <w:szCs w:val="22"/>
          <w:lang w:val="en-US" w:eastAsia="zh-CN"/>
        </w:rPr>
        <w:t xml:space="preserve">Apart from Alt1 and Alt2, to jointly code the SRI, TRI and TPMI could be another possible way to reduce the overhead. </w:t>
      </w:r>
      <w:r w:rsidR="00111169">
        <w:rPr>
          <w:sz w:val="22"/>
          <w:szCs w:val="22"/>
          <w:lang w:val="en-US" w:eastAsia="zh-CN"/>
        </w:rPr>
        <w:t>Table 2 illustrates the possible control signaling overhead for this case.</w:t>
      </w:r>
    </w:p>
    <w:p w14:paraId="5D879305" w14:textId="6CD8E9F6" w:rsidR="00111169" w:rsidRPr="00B634C4" w:rsidRDefault="00111169" w:rsidP="00111169">
      <w:pPr>
        <w:ind w:firstLine="284"/>
        <w:jc w:val="center"/>
        <w:rPr>
          <w:b/>
          <w:sz w:val="22"/>
          <w:szCs w:val="22"/>
          <w:lang w:val="en-US" w:eastAsia="zh-CN"/>
        </w:rPr>
      </w:pPr>
      <w:r>
        <w:rPr>
          <w:b/>
          <w:sz w:val="22"/>
          <w:szCs w:val="22"/>
          <w:lang w:val="en-US" w:eastAsia="zh-CN"/>
        </w:rPr>
        <w:t>Table 2</w:t>
      </w:r>
      <w:r w:rsidRPr="00B634C4">
        <w:rPr>
          <w:b/>
          <w:sz w:val="22"/>
          <w:szCs w:val="22"/>
          <w:lang w:val="en-US" w:eastAsia="zh-CN"/>
        </w:rPr>
        <w:t xml:space="preserve">: Overhead comparison of DCI and RRC configuration for </w:t>
      </w:r>
      <w:r>
        <w:rPr>
          <w:b/>
          <w:sz w:val="22"/>
          <w:szCs w:val="22"/>
          <w:lang w:val="en-US" w:eastAsia="zh-CN"/>
        </w:rPr>
        <w:t>N=2 and S=3</w:t>
      </w:r>
    </w:p>
    <w:tbl>
      <w:tblPr>
        <w:tblStyle w:val="GridTable4-Accent5"/>
        <w:tblW w:w="0" w:type="auto"/>
        <w:jc w:val="center"/>
        <w:tblLook w:val="04A0" w:firstRow="1" w:lastRow="0" w:firstColumn="1" w:lastColumn="0" w:noHBand="0" w:noVBand="1"/>
      </w:tblPr>
      <w:tblGrid>
        <w:gridCol w:w="2074"/>
        <w:gridCol w:w="2720"/>
        <w:gridCol w:w="2720"/>
        <w:gridCol w:w="2646"/>
      </w:tblGrid>
      <w:tr w:rsidR="00111169" w14:paraId="3D40CCBF" w14:textId="01A8FD3C" w:rsidTr="0011116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35201D6E" w14:textId="77777777" w:rsidR="00111169" w:rsidRDefault="00111169" w:rsidP="00CC0225">
            <w:pPr>
              <w:jc w:val="center"/>
              <w:rPr>
                <w:sz w:val="22"/>
                <w:szCs w:val="22"/>
                <w:lang w:val="en-US" w:eastAsia="zh-CN"/>
              </w:rPr>
            </w:pPr>
          </w:p>
        </w:tc>
        <w:tc>
          <w:tcPr>
            <w:tcW w:w="2720" w:type="dxa"/>
          </w:tcPr>
          <w:p w14:paraId="2C15CD0B" w14:textId="77777777" w:rsidR="00111169" w:rsidRDefault="00111169" w:rsidP="00CC0225">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Alt 1 (number of bits)</w:t>
            </w:r>
          </w:p>
        </w:tc>
        <w:tc>
          <w:tcPr>
            <w:tcW w:w="2720" w:type="dxa"/>
          </w:tcPr>
          <w:p w14:paraId="5B67EECB" w14:textId="77777777" w:rsidR="00111169" w:rsidRDefault="00111169" w:rsidP="00CC0225">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Al</w:t>
            </w:r>
            <w:r>
              <w:rPr>
                <w:sz w:val="22"/>
                <w:szCs w:val="22"/>
                <w:lang w:val="en-US" w:eastAsia="zh-CN"/>
              </w:rPr>
              <w:t>t 2 (number of bits)</w:t>
            </w:r>
          </w:p>
        </w:tc>
        <w:tc>
          <w:tcPr>
            <w:tcW w:w="2646" w:type="dxa"/>
          </w:tcPr>
          <w:p w14:paraId="4B07A2AA" w14:textId="4D52FBC4" w:rsidR="00111169" w:rsidRDefault="00111169" w:rsidP="00CC0225">
            <w:pPr>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Joint</w:t>
            </w:r>
            <w:r w:rsidR="00C61B02">
              <w:rPr>
                <w:sz w:val="22"/>
                <w:szCs w:val="22"/>
                <w:lang w:val="en-US" w:eastAsia="zh-CN"/>
              </w:rPr>
              <w:t>ly</w:t>
            </w:r>
            <w:r>
              <w:rPr>
                <w:sz w:val="22"/>
                <w:szCs w:val="22"/>
                <w:lang w:val="en-US" w:eastAsia="zh-CN"/>
              </w:rPr>
              <w:t xml:space="preserve"> Coded</w:t>
            </w:r>
          </w:p>
        </w:tc>
      </w:tr>
      <w:tr w:rsidR="00111169" w14:paraId="694D3566" w14:textId="7EF8329D" w:rsidTr="001111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79FB7D8C" w14:textId="77777777" w:rsidR="00111169" w:rsidRDefault="00111169" w:rsidP="00CC0225">
            <w:pPr>
              <w:jc w:val="center"/>
              <w:rPr>
                <w:sz w:val="22"/>
                <w:szCs w:val="22"/>
                <w:lang w:val="en-US" w:eastAsia="zh-CN"/>
              </w:rPr>
            </w:pPr>
            <w:r>
              <w:rPr>
                <w:rFonts w:hint="eastAsia"/>
                <w:sz w:val="22"/>
                <w:szCs w:val="22"/>
                <w:lang w:val="en-US" w:eastAsia="zh-CN"/>
              </w:rPr>
              <w:t>SRI</w:t>
            </w:r>
          </w:p>
        </w:tc>
        <w:tc>
          <w:tcPr>
            <w:tcW w:w="2720" w:type="dxa"/>
          </w:tcPr>
          <w:p w14:paraId="400C4C9C" w14:textId="50F8141A"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2</w:t>
            </w:r>
          </w:p>
        </w:tc>
        <w:tc>
          <w:tcPr>
            <w:tcW w:w="2720" w:type="dxa"/>
          </w:tcPr>
          <w:p w14:paraId="32E3D41D" w14:textId="111304B4"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3</w:t>
            </w:r>
          </w:p>
        </w:tc>
        <w:tc>
          <w:tcPr>
            <w:tcW w:w="2646" w:type="dxa"/>
            <w:vMerge w:val="restart"/>
          </w:tcPr>
          <w:p w14:paraId="12BABB0E" w14:textId="52C3AB02"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w:t>
            </w:r>
          </w:p>
        </w:tc>
      </w:tr>
      <w:tr w:rsidR="00111169" w14:paraId="4F136346" w14:textId="20A6D20B" w:rsidTr="00111169">
        <w:trPr>
          <w:jc w:val="center"/>
        </w:trPr>
        <w:tc>
          <w:tcPr>
            <w:cnfStyle w:val="001000000000" w:firstRow="0" w:lastRow="0" w:firstColumn="1" w:lastColumn="0" w:oddVBand="0" w:evenVBand="0" w:oddHBand="0" w:evenHBand="0" w:firstRowFirstColumn="0" w:firstRowLastColumn="0" w:lastRowFirstColumn="0" w:lastRowLastColumn="0"/>
            <w:tcW w:w="2074" w:type="dxa"/>
          </w:tcPr>
          <w:p w14:paraId="5206743A" w14:textId="77777777" w:rsidR="00111169" w:rsidRDefault="00111169" w:rsidP="00CC0225">
            <w:pPr>
              <w:jc w:val="center"/>
              <w:rPr>
                <w:sz w:val="22"/>
                <w:szCs w:val="22"/>
                <w:lang w:val="en-US" w:eastAsia="zh-CN"/>
              </w:rPr>
            </w:pPr>
            <w:r>
              <w:rPr>
                <w:rFonts w:hint="eastAsia"/>
                <w:sz w:val="22"/>
                <w:szCs w:val="22"/>
                <w:lang w:val="en-US" w:eastAsia="zh-CN"/>
              </w:rPr>
              <w:t>TRI</w:t>
            </w:r>
          </w:p>
        </w:tc>
        <w:tc>
          <w:tcPr>
            <w:tcW w:w="2720" w:type="dxa"/>
          </w:tcPr>
          <w:p w14:paraId="5CA5BDAB" w14:textId="77777777"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720" w:type="dxa"/>
          </w:tcPr>
          <w:p w14:paraId="5D6A38D6" w14:textId="77777777"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1</w:t>
            </w:r>
          </w:p>
        </w:tc>
        <w:tc>
          <w:tcPr>
            <w:tcW w:w="2646" w:type="dxa"/>
            <w:vMerge/>
          </w:tcPr>
          <w:p w14:paraId="3AD4AE30" w14:textId="77777777"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p>
        </w:tc>
      </w:tr>
      <w:tr w:rsidR="00111169" w14:paraId="18234B6E" w14:textId="0C2B3824" w:rsidTr="001111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35D46619" w14:textId="77777777" w:rsidR="00111169" w:rsidRDefault="00111169" w:rsidP="00CC0225">
            <w:pPr>
              <w:jc w:val="center"/>
              <w:rPr>
                <w:sz w:val="22"/>
                <w:szCs w:val="22"/>
                <w:lang w:val="en-US" w:eastAsia="zh-CN"/>
              </w:rPr>
            </w:pPr>
            <w:r>
              <w:rPr>
                <w:rFonts w:hint="eastAsia"/>
                <w:sz w:val="22"/>
                <w:szCs w:val="22"/>
                <w:lang w:val="en-US" w:eastAsia="zh-CN"/>
              </w:rPr>
              <w:t>TPMI</w:t>
            </w:r>
          </w:p>
        </w:tc>
        <w:tc>
          <w:tcPr>
            <w:tcW w:w="2720" w:type="dxa"/>
          </w:tcPr>
          <w:p w14:paraId="305D959D" w14:textId="77777777"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4</w:t>
            </w:r>
          </w:p>
        </w:tc>
        <w:tc>
          <w:tcPr>
            <w:tcW w:w="2720" w:type="dxa"/>
          </w:tcPr>
          <w:p w14:paraId="11417B49" w14:textId="77777777"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w:t>
            </w:r>
          </w:p>
        </w:tc>
        <w:tc>
          <w:tcPr>
            <w:tcW w:w="2646" w:type="dxa"/>
            <w:vMerge/>
          </w:tcPr>
          <w:p w14:paraId="7115623D" w14:textId="77777777"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p>
        </w:tc>
      </w:tr>
      <w:tr w:rsidR="00111169" w14:paraId="357AB19D" w14:textId="5C66C1F5" w:rsidTr="00111169">
        <w:trPr>
          <w:jc w:val="center"/>
        </w:trPr>
        <w:tc>
          <w:tcPr>
            <w:cnfStyle w:val="001000000000" w:firstRow="0" w:lastRow="0" w:firstColumn="1" w:lastColumn="0" w:oddVBand="0" w:evenVBand="0" w:oddHBand="0" w:evenHBand="0" w:firstRowFirstColumn="0" w:firstRowLastColumn="0" w:lastRowFirstColumn="0" w:lastRowLastColumn="0"/>
            <w:tcW w:w="2074" w:type="dxa"/>
          </w:tcPr>
          <w:p w14:paraId="1D117F5F" w14:textId="77777777" w:rsidR="00111169" w:rsidRDefault="00111169" w:rsidP="00CC0225">
            <w:pPr>
              <w:jc w:val="center"/>
              <w:rPr>
                <w:sz w:val="22"/>
                <w:szCs w:val="22"/>
                <w:lang w:val="en-US" w:eastAsia="zh-CN"/>
              </w:rPr>
            </w:pPr>
            <w:r>
              <w:rPr>
                <w:rFonts w:hint="eastAsia"/>
                <w:sz w:val="22"/>
                <w:szCs w:val="22"/>
                <w:lang w:val="en-US" w:eastAsia="zh-CN"/>
              </w:rPr>
              <w:t>To</w:t>
            </w:r>
            <w:r>
              <w:rPr>
                <w:sz w:val="22"/>
                <w:szCs w:val="22"/>
                <w:lang w:val="en-US" w:eastAsia="zh-CN"/>
              </w:rPr>
              <w:t>tal bits in DCI</w:t>
            </w:r>
          </w:p>
        </w:tc>
        <w:tc>
          <w:tcPr>
            <w:tcW w:w="2720" w:type="dxa"/>
          </w:tcPr>
          <w:p w14:paraId="43503322" w14:textId="75E158E9"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7</w:t>
            </w:r>
          </w:p>
        </w:tc>
        <w:tc>
          <w:tcPr>
            <w:tcW w:w="2720" w:type="dxa"/>
          </w:tcPr>
          <w:p w14:paraId="76C66E19" w14:textId="4D2971FB" w:rsidR="00111169" w:rsidRDefault="00111169" w:rsidP="00CC0225">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7</w:t>
            </w:r>
          </w:p>
        </w:tc>
        <w:tc>
          <w:tcPr>
            <w:tcW w:w="2646" w:type="dxa"/>
          </w:tcPr>
          <w:p w14:paraId="6D2BC152" w14:textId="63CD0E65" w:rsidR="00111169" w:rsidRDefault="00D5547E" w:rsidP="00111169">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d>
                  <m:dPr>
                    <m:begChr m:val="⌈"/>
                    <m:endChr m:val="⌉"/>
                    <m:ctrlPr>
                      <w:rPr>
                        <w:rFonts w:ascii="Cambria Math" w:hAnsi="Cambria Math"/>
                        <w:sz w:val="22"/>
                        <w:szCs w:val="22"/>
                        <w:lang w:val="en-US" w:eastAsia="zh-CN"/>
                      </w:rPr>
                    </m:ctrlPr>
                  </m:dPr>
                  <m:e>
                    <m:func>
                      <m:funcPr>
                        <m:ctrlPr>
                          <w:rPr>
                            <w:rFonts w:ascii="Cambria Math" w:hAnsi="Cambria Math"/>
                            <w:sz w:val="22"/>
                            <w:szCs w:val="22"/>
                            <w:lang w:val="en-US" w:eastAsia="zh-CN"/>
                          </w:rPr>
                        </m:ctrlPr>
                      </m:funcPr>
                      <m:fName>
                        <m:sSub>
                          <m:sSubPr>
                            <m:ctrlPr>
                              <w:rPr>
                                <w:rFonts w:ascii="Cambria Math" w:hAnsi="Cambria Math"/>
                                <w:sz w:val="22"/>
                                <w:szCs w:val="22"/>
                                <w:lang w:val="en-US" w:eastAsia="zh-CN"/>
                              </w:rPr>
                            </m:ctrlPr>
                          </m:sSubPr>
                          <m:e>
                            <m:r>
                              <m:rPr>
                                <m:sty m:val="p"/>
                              </m:rPr>
                              <w:rPr>
                                <w:rFonts w:ascii="Cambria Math" w:hAnsi="Cambria Math"/>
                                <w:sz w:val="22"/>
                                <w:szCs w:val="22"/>
                                <w:lang w:val="en-US" w:eastAsia="zh-CN"/>
                              </w:rPr>
                              <m:t>log</m:t>
                            </m:r>
                          </m:e>
                          <m:sub>
                            <m:r>
                              <m:rPr>
                                <m:sty m:val="p"/>
                              </m:rPr>
                              <w:rPr>
                                <w:rFonts w:ascii="Cambria Math" w:hAnsi="Cambria Math"/>
                                <w:sz w:val="22"/>
                                <w:szCs w:val="22"/>
                                <w:lang w:val="en-US" w:eastAsia="zh-CN"/>
                              </w:rPr>
                              <m:t>2</m:t>
                            </m:r>
                          </m:sub>
                        </m:sSub>
                        <m:ctrlPr>
                          <w:rPr>
                            <w:rFonts w:ascii="Cambria Math" w:hAnsi="Cambria Math"/>
                            <w:i/>
                            <w:sz w:val="22"/>
                            <w:szCs w:val="22"/>
                            <w:lang w:val="en-US" w:eastAsia="zh-CN"/>
                          </w:rPr>
                        </m:ctrlPr>
                      </m:fName>
                      <m:e>
                        <m:r>
                          <w:rPr>
                            <w:rFonts w:ascii="Cambria Math" w:hAnsi="Cambria Math"/>
                            <w:sz w:val="22"/>
                            <w:szCs w:val="22"/>
                            <w:lang w:val="en-US" w:eastAsia="zh-CN"/>
                          </w:rPr>
                          <m:t>(2×3×6)</m:t>
                        </m:r>
                        <m:ctrlPr>
                          <w:rPr>
                            <w:rFonts w:ascii="Cambria Math" w:hAnsi="Cambria Math"/>
                            <w:i/>
                            <w:sz w:val="22"/>
                            <w:szCs w:val="22"/>
                            <w:lang w:val="en-US" w:eastAsia="zh-CN"/>
                          </w:rPr>
                        </m:ctrlPr>
                      </m:e>
                    </m:func>
                  </m:e>
                </m:d>
                <m:r>
                  <w:rPr>
                    <w:rFonts w:ascii="Cambria Math" w:hAnsi="Cambria Math"/>
                    <w:sz w:val="22"/>
                    <w:szCs w:val="22"/>
                    <w:lang w:val="en-US" w:eastAsia="zh-CN"/>
                  </w:rPr>
                  <m:t>=6</m:t>
                </m:r>
              </m:oMath>
            </m:oMathPara>
          </w:p>
        </w:tc>
      </w:tr>
      <w:tr w:rsidR="00111169" w14:paraId="0FE215B3" w14:textId="42A46784" w:rsidTr="001111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4" w:type="dxa"/>
          </w:tcPr>
          <w:p w14:paraId="3EFCA9AE" w14:textId="77777777" w:rsidR="00111169" w:rsidRDefault="00111169" w:rsidP="00CC0225">
            <w:pPr>
              <w:jc w:val="center"/>
              <w:rPr>
                <w:sz w:val="22"/>
                <w:szCs w:val="22"/>
                <w:lang w:val="en-US" w:eastAsia="zh-CN"/>
              </w:rPr>
            </w:pPr>
            <w:r>
              <w:rPr>
                <w:sz w:val="22"/>
                <w:szCs w:val="22"/>
                <w:lang w:val="en-US" w:eastAsia="zh-CN"/>
              </w:rPr>
              <w:t>RRC configuration</w:t>
            </w:r>
          </w:p>
        </w:tc>
        <w:tc>
          <w:tcPr>
            <w:tcW w:w="2720" w:type="dxa"/>
          </w:tcPr>
          <w:p w14:paraId="7E064349" w14:textId="7F279784"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w:t>
            </w:r>
            <w:r>
              <w:rPr>
                <w:rFonts w:hint="eastAsia"/>
                <w:sz w:val="22"/>
                <w:szCs w:val="22"/>
                <w:lang w:val="en-US" w:eastAsia="zh-CN"/>
              </w:rPr>
              <w:t>K</w:t>
            </w:r>
          </w:p>
        </w:tc>
        <w:tc>
          <w:tcPr>
            <w:tcW w:w="2720" w:type="dxa"/>
          </w:tcPr>
          <w:p w14:paraId="515047DF" w14:textId="0D3087CC"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6K</w:t>
            </w:r>
          </w:p>
        </w:tc>
        <w:tc>
          <w:tcPr>
            <w:tcW w:w="2646" w:type="dxa"/>
          </w:tcPr>
          <w:p w14:paraId="38240F31" w14:textId="508A94BA" w:rsidR="00111169" w:rsidRDefault="00111169" w:rsidP="00CC0225">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3</w:t>
            </w:r>
            <w:r>
              <w:rPr>
                <w:sz w:val="22"/>
                <w:szCs w:val="22"/>
                <w:lang w:val="en-US" w:eastAsia="zh-CN"/>
              </w:rPr>
              <w:t>K</w:t>
            </w:r>
          </w:p>
        </w:tc>
      </w:tr>
    </w:tbl>
    <w:p w14:paraId="7482EB3E" w14:textId="77777777" w:rsidR="00111169" w:rsidRDefault="00111169" w:rsidP="007777C3">
      <w:pPr>
        <w:ind w:firstLine="284"/>
        <w:jc w:val="both"/>
        <w:rPr>
          <w:sz w:val="22"/>
          <w:szCs w:val="22"/>
          <w:lang w:val="en-US" w:eastAsia="zh-CN"/>
        </w:rPr>
      </w:pPr>
    </w:p>
    <w:p w14:paraId="4E8A09C0" w14:textId="1F2427E0" w:rsidR="00317A42" w:rsidRDefault="00081534" w:rsidP="00AC7949">
      <w:pPr>
        <w:ind w:firstLine="284"/>
        <w:jc w:val="both"/>
        <w:rPr>
          <w:b/>
          <w:i/>
          <w:sz w:val="22"/>
          <w:szCs w:val="22"/>
          <w:lang w:val="en-US" w:eastAsia="zh-CN"/>
        </w:rPr>
      </w:pPr>
      <w:r>
        <w:rPr>
          <w:b/>
          <w:i/>
          <w:sz w:val="22"/>
          <w:szCs w:val="22"/>
          <w:lang w:val="en-US" w:eastAsia="zh-CN"/>
        </w:rPr>
        <w:t xml:space="preserve">Proposal </w:t>
      </w:r>
      <w:r w:rsidR="00C61B02">
        <w:rPr>
          <w:b/>
          <w:i/>
          <w:sz w:val="22"/>
          <w:szCs w:val="22"/>
          <w:lang w:val="en-US" w:eastAsia="zh-CN"/>
        </w:rPr>
        <w:t>2</w:t>
      </w:r>
      <w:r w:rsidR="00317A42">
        <w:rPr>
          <w:b/>
          <w:i/>
          <w:sz w:val="22"/>
          <w:szCs w:val="22"/>
          <w:lang w:val="en-US" w:eastAsia="zh-CN"/>
        </w:rPr>
        <w:t xml:space="preserve">: </w:t>
      </w:r>
      <w:r w:rsidR="00C61B02">
        <w:rPr>
          <w:b/>
          <w:i/>
          <w:sz w:val="22"/>
          <w:szCs w:val="22"/>
          <w:lang w:val="en-US" w:eastAsia="zh-CN"/>
        </w:rPr>
        <w:t>The Alt1 (using TPMI for antenna selection) should be supported</w:t>
      </w:r>
      <w:r w:rsidR="00E21059">
        <w:rPr>
          <w:b/>
          <w:i/>
          <w:sz w:val="22"/>
          <w:szCs w:val="22"/>
          <w:lang w:val="en-US" w:eastAsia="zh-CN"/>
        </w:rPr>
        <w:t>.</w:t>
      </w:r>
    </w:p>
    <w:p w14:paraId="239DF4CF" w14:textId="32C47BB0" w:rsidR="00550C5D" w:rsidRDefault="00C61B02" w:rsidP="00AC7949">
      <w:pPr>
        <w:ind w:firstLine="284"/>
        <w:jc w:val="both"/>
        <w:rPr>
          <w:b/>
          <w:i/>
          <w:sz w:val="22"/>
          <w:szCs w:val="22"/>
          <w:lang w:val="en-US" w:eastAsia="zh-CN"/>
        </w:rPr>
      </w:pPr>
      <w:r>
        <w:rPr>
          <w:b/>
          <w:i/>
          <w:sz w:val="22"/>
          <w:szCs w:val="22"/>
          <w:lang w:val="en-US" w:eastAsia="zh-CN"/>
        </w:rPr>
        <w:t>Proposal 3</w:t>
      </w:r>
      <w:r w:rsidR="00550C5D">
        <w:rPr>
          <w:b/>
          <w:i/>
          <w:sz w:val="22"/>
          <w:szCs w:val="22"/>
          <w:lang w:val="en-US" w:eastAsia="zh-CN"/>
        </w:rPr>
        <w:t xml:space="preserve">: </w:t>
      </w:r>
      <w:r>
        <w:rPr>
          <w:b/>
          <w:i/>
          <w:sz w:val="22"/>
          <w:szCs w:val="22"/>
          <w:lang w:val="en-US" w:eastAsia="zh-CN"/>
        </w:rPr>
        <w:t>The SRI, TRI and TPMI should be jointly coded to save the overhead</w:t>
      </w:r>
      <w:r w:rsidR="00C85FA0">
        <w:rPr>
          <w:b/>
          <w:i/>
          <w:sz w:val="22"/>
          <w:szCs w:val="22"/>
          <w:lang w:val="en-US" w:eastAsia="zh-CN"/>
        </w:rPr>
        <w:t>, regarding forward compatibility</w:t>
      </w:r>
      <w:r w:rsidR="00C902B6">
        <w:rPr>
          <w:b/>
          <w:i/>
          <w:sz w:val="22"/>
          <w:szCs w:val="22"/>
          <w:lang w:val="en-US" w:eastAsia="zh-CN"/>
        </w:rPr>
        <w:t>.</w:t>
      </w:r>
    </w:p>
    <w:p w14:paraId="2E2DAA02" w14:textId="200DB38B" w:rsidR="00C61B02" w:rsidRPr="002B151A" w:rsidRDefault="00C61B02" w:rsidP="00C61B02">
      <w:pPr>
        <w:pStyle w:val="Heading2"/>
        <w:rPr>
          <w:lang w:val="en-US" w:eastAsia="zh-CN"/>
        </w:rPr>
      </w:pPr>
      <w:r>
        <w:rPr>
          <w:lang w:val="en-US" w:eastAsia="zh-CN"/>
        </w:rPr>
        <w:t>2.3 4Tx Codebook</w:t>
      </w:r>
    </w:p>
    <w:p w14:paraId="625C2D55" w14:textId="23CC0A05" w:rsidR="00C61B02" w:rsidRDefault="00C61B02" w:rsidP="00AC7949">
      <w:pPr>
        <w:ind w:firstLine="284"/>
        <w:jc w:val="both"/>
        <w:rPr>
          <w:sz w:val="22"/>
          <w:szCs w:val="22"/>
          <w:lang w:val="en-US" w:eastAsia="zh-CN"/>
        </w:rPr>
      </w:pPr>
      <w:r>
        <w:rPr>
          <w:sz w:val="22"/>
          <w:szCs w:val="22"/>
          <w:lang w:val="en-US" w:eastAsia="zh-CN"/>
        </w:rPr>
        <w:t>As discussed in last section, using TPMI for antenna selection could have less overhead. The 4Tx codebook should also support both antenna combining and antenna selection. Regarding the uplink subband precoding</w:t>
      </w:r>
      <w:r w:rsidR="005D3897">
        <w:rPr>
          <w:sz w:val="22"/>
          <w:szCs w:val="22"/>
          <w:lang w:val="en-US" w:eastAsia="zh-CN"/>
        </w:rPr>
        <w:t xml:space="preserve"> for CP-OFDM</w:t>
      </w:r>
      <w:r>
        <w:rPr>
          <w:sz w:val="22"/>
          <w:szCs w:val="22"/>
          <w:lang w:val="en-US" w:eastAsia="zh-CN"/>
        </w:rPr>
        <w:t>, the antenna selection should be wideband and for each subband the co-phasing between selected antenna ports could be different. Therefore the codebook could be generated as follows:</w:t>
      </w:r>
    </w:p>
    <w:p w14:paraId="7434E3D6" w14:textId="1437E88A" w:rsidR="00C61B02" w:rsidRPr="00C61B02" w:rsidRDefault="00C61B02" w:rsidP="00AC7949">
      <w:pPr>
        <w:ind w:firstLine="284"/>
        <w:jc w:val="both"/>
        <w:rPr>
          <w:b/>
          <w:i/>
          <w:sz w:val="22"/>
          <w:szCs w:val="22"/>
          <w:lang w:val="en-US" w:eastAsia="zh-CN"/>
        </w:rPr>
      </w:pPr>
      <m:oMathPara>
        <m:oMath>
          <m:r>
            <m:rPr>
              <m:sty m:val="bi"/>
            </m:rPr>
            <w:rPr>
              <w:rFonts w:ascii="Cambria Math" w:hAnsi="Cambria Math"/>
              <w:sz w:val="22"/>
              <w:szCs w:val="22"/>
              <w:lang w:val="en-US" w:eastAsia="zh-CN"/>
            </w:rPr>
            <m:t>W=</m:t>
          </m:r>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m:oMathPara>
    </w:p>
    <w:p w14:paraId="05440A52" w14:textId="666DAC15" w:rsidR="00C61B02" w:rsidRDefault="00C61B02" w:rsidP="00AC7949">
      <w:pPr>
        <w:ind w:firstLine="284"/>
        <w:jc w:val="both"/>
        <w:rPr>
          <w:sz w:val="22"/>
          <w:szCs w:val="22"/>
          <w:lang w:val="en-US" w:eastAsia="zh-CN"/>
        </w:rPr>
      </w:pPr>
      <w:r>
        <w:rPr>
          <w:sz w:val="22"/>
          <w:szCs w:val="22"/>
          <w:lang w:val="en-US" w:eastAsia="zh-CN"/>
        </w:rPr>
        <w:lastRenderedPageBreak/>
        <w:t>W</w:t>
      </w:r>
      <w:r>
        <w:rPr>
          <w:rFonts w:hint="eastAsia"/>
          <w:sz w:val="22"/>
          <w:szCs w:val="22"/>
          <w:lang w:val="en-US" w:eastAsia="zh-CN"/>
        </w:rPr>
        <w:t>here</w:t>
      </w:r>
      <w:r>
        <w:rPr>
          <w:sz w:val="22"/>
          <w:szCs w:val="22"/>
          <w:lang w:val="en-US" w:eastAsia="zh-CN"/>
        </w:rPr>
        <w:t xml:space="preserve">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Pr>
          <w:rFonts w:hint="eastAsia"/>
          <w:b/>
          <w:sz w:val="22"/>
          <w:szCs w:val="22"/>
          <w:lang w:val="en-US" w:eastAsia="zh-CN"/>
        </w:rPr>
        <w:t xml:space="preserve"> </w:t>
      </w:r>
      <w:r>
        <w:rPr>
          <w:sz w:val="22"/>
          <w:szCs w:val="22"/>
          <w:lang w:val="en-US" w:eastAsia="zh-CN"/>
        </w:rPr>
        <w:t xml:space="preserve">is used for antenna selection and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Pr>
          <w:rFonts w:hint="eastAsia"/>
          <w:b/>
          <w:sz w:val="22"/>
          <w:szCs w:val="22"/>
          <w:lang w:val="en-US" w:eastAsia="zh-CN"/>
        </w:rPr>
        <w:t xml:space="preserve"> </w:t>
      </w:r>
      <w:r>
        <w:rPr>
          <w:sz w:val="22"/>
          <w:szCs w:val="22"/>
          <w:lang w:val="en-US" w:eastAsia="zh-CN"/>
        </w:rPr>
        <w:t>is used for the indication of co-phasing between selected antenna ports.</w:t>
      </w:r>
      <w:r w:rsidR="00A1341C">
        <w:rPr>
          <w:sz w:val="22"/>
          <w:szCs w:val="22"/>
          <w:lang w:val="en-US" w:eastAsia="zh-CN"/>
        </w:rPr>
        <w:t xml:space="preserve"> For the wideband TPMI indication, it can be based on the matrix of W to save the overhead, and for the subband TPMI indication, the wideband TPMI1 should be based on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sidR="00A1341C">
        <w:rPr>
          <w:sz w:val="22"/>
          <w:szCs w:val="22"/>
          <w:lang w:val="en-US" w:eastAsia="zh-CN"/>
        </w:rPr>
        <w:t xml:space="preserve"> and subband TPMI2 should be based on </w:t>
      </w:r>
      <w:proofErr w:type="gramStart"/>
      <w:r w:rsidR="00A1341C">
        <w:rPr>
          <w:sz w:val="22"/>
          <w:szCs w:val="22"/>
          <w:lang w:val="en-US" w:eastAsia="zh-CN"/>
        </w:rPr>
        <w:t xml:space="preserve">matrix </w:t>
      </w:r>
      <w:proofErr w:type="gramEnd"/>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sidR="00A1341C">
        <w:rPr>
          <w:sz w:val="22"/>
          <w:szCs w:val="22"/>
          <w:lang w:val="en-US" w:eastAsia="zh-CN"/>
        </w:rPr>
        <w:t>.</w:t>
      </w:r>
    </w:p>
    <w:p w14:paraId="0D3822A3" w14:textId="353ECAE6" w:rsidR="00D370D6" w:rsidRDefault="00D370D6" w:rsidP="00AC7949">
      <w:pPr>
        <w:ind w:firstLine="284"/>
        <w:jc w:val="both"/>
        <w:rPr>
          <w:sz w:val="22"/>
          <w:szCs w:val="22"/>
          <w:lang w:val="en-US" w:eastAsia="zh-CN"/>
        </w:rPr>
      </w:pPr>
      <w:r>
        <w:rPr>
          <w:sz w:val="22"/>
          <w:szCs w:val="22"/>
          <w:lang w:val="en-US" w:eastAsia="zh-CN"/>
        </w:rPr>
        <w:t xml:space="preserve">The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Pr>
          <w:sz w:val="22"/>
          <w:szCs w:val="22"/>
          <w:lang w:val="en-US" w:eastAsia="zh-CN"/>
        </w:rPr>
        <w:t xml:space="preserve"> can be </w:t>
      </w:r>
      <w:r w:rsidR="00CC0225">
        <w:rPr>
          <w:sz w:val="22"/>
          <w:szCs w:val="22"/>
          <w:lang w:val="en-US" w:eastAsia="zh-CN"/>
        </w:rPr>
        <w:t xml:space="preserve">given as </w:t>
      </w:r>
      <w:r w:rsidR="00303634">
        <w:rPr>
          <w:sz w:val="22"/>
          <w:szCs w:val="22"/>
          <w:lang w:val="en-US" w:eastAsia="zh-CN"/>
        </w:rPr>
        <w:t>Table 3</w:t>
      </w:r>
      <w:r>
        <w:rPr>
          <w:sz w:val="22"/>
          <w:szCs w:val="22"/>
          <w:lang w:val="en-US" w:eastAsia="zh-CN"/>
        </w:rPr>
        <w:t xml:space="preserve"> and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Pr>
          <w:sz w:val="22"/>
          <w:szCs w:val="22"/>
          <w:lang w:val="en-US" w:eastAsia="zh-CN"/>
        </w:rPr>
        <w:t xml:space="preserve"> can be based on the 2Tx codebook for UL</w:t>
      </w:r>
      <w:r w:rsidR="00303634">
        <w:rPr>
          <w:sz w:val="22"/>
          <w:szCs w:val="22"/>
          <w:lang w:val="en-US" w:eastAsia="zh-CN"/>
        </w:rPr>
        <w:t xml:space="preserve"> when TPMI1 = 4 and 5</w:t>
      </w:r>
      <w:r>
        <w:rPr>
          <w:sz w:val="22"/>
          <w:szCs w:val="22"/>
          <w:lang w:val="en-US" w:eastAsia="zh-CN"/>
        </w:rPr>
        <w:t xml:space="preserve"> and 4Tx codebook for LTE Rel-10</w:t>
      </w:r>
      <w:r w:rsidR="00303634">
        <w:rPr>
          <w:sz w:val="22"/>
          <w:szCs w:val="22"/>
          <w:lang w:val="en-US" w:eastAsia="zh-CN"/>
        </w:rPr>
        <w:t xml:space="preserve"> for CP-OFDM and DFT-s-OFDM when TPMI1 = 6</w:t>
      </w:r>
      <w:r>
        <w:rPr>
          <w:sz w:val="22"/>
          <w:szCs w:val="22"/>
          <w:lang w:val="en-US" w:eastAsia="zh-CN"/>
        </w:rPr>
        <w:t>.</w:t>
      </w:r>
      <w:r w:rsidR="00303634">
        <w:rPr>
          <w:sz w:val="22"/>
          <w:szCs w:val="22"/>
          <w:lang w:val="en-US" w:eastAsia="zh-CN"/>
        </w:rPr>
        <w:t xml:space="preserve"> When TPMI1 = 0-3,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2</m:t>
            </m:r>
          </m:sub>
        </m:sSub>
      </m:oMath>
      <w:r w:rsidR="00303634">
        <w:rPr>
          <w:rFonts w:hint="eastAsia"/>
          <w:b/>
          <w:sz w:val="22"/>
          <w:szCs w:val="22"/>
          <w:lang w:val="en-US" w:eastAsia="zh-CN"/>
        </w:rPr>
        <w:t xml:space="preserve"> </w:t>
      </w:r>
      <w:r w:rsidR="00303634">
        <w:rPr>
          <w:sz w:val="22"/>
          <w:szCs w:val="22"/>
          <w:lang w:val="en-US" w:eastAsia="zh-CN"/>
        </w:rPr>
        <w:t>should be 1. For each waveform, the codebook sub-set restriction can be used and the UE can select corresponding precoders.</w:t>
      </w:r>
    </w:p>
    <w:p w14:paraId="58B1E399" w14:textId="2654FF72" w:rsidR="00303634" w:rsidRPr="00303634" w:rsidRDefault="00303634" w:rsidP="00303634">
      <w:pPr>
        <w:ind w:firstLine="284"/>
        <w:jc w:val="center"/>
        <w:rPr>
          <w:b/>
          <w:sz w:val="22"/>
          <w:szCs w:val="22"/>
          <w:lang w:val="en-US" w:eastAsia="zh-CN"/>
        </w:rPr>
      </w:pPr>
      <w:r w:rsidRPr="00303634">
        <w:rPr>
          <w:b/>
          <w:sz w:val="22"/>
          <w:szCs w:val="22"/>
          <w:lang w:val="en-US" w:eastAsia="zh-CN"/>
        </w:rPr>
        <w:t xml:space="preserve">Table 3: </w:t>
      </w:r>
      <w:r>
        <w:rPr>
          <w:b/>
          <w:sz w:val="22"/>
          <w:szCs w:val="22"/>
          <w:lang w:val="en-US" w:eastAsia="zh-CN"/>
        </w:rPr>
        <w:t>T</w:t>
      </w:r>
      <w:r w:rsidRPr="00303634">
        <w:rPr>
          <w:b/>
          <w:sz w:val="22"/>
          <w:szCs w:val="22"/>
          <w:lang w:val="en-US" w:eastAsia="zh-CN"/>
        </w:rPr>
        <w:t xml:space="preserve">he definition of matrix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1</m:t>
            </m:r>
          </m:sub>
        </m:sSub>
      </m:oMath>
      <w:r>
        <w:rPr>
          <w:rFonts w:hint="eastAsia"/>
          <w:b/>
          <w:sz w:val="22"/>
          <w:szCs w:val="22"/>
          <w:lang w:val="en-US" w:eastAsia="zh-CN"/>
        </w:rPr>
        <w:t xml:space="preserve"> for</w:t>
      </w:r>
      <w:r>
        <w:rPr>
          <w:b/>
          <w:sz w:val="22"/>
          <w:szCs w:val="22"/>
          <w:lang w:val="en-US" w:eastAsia="zh-CN"/>
        </w:rPr>
        <w:t xml:space="preserve"> antenna selection</w:t>
      </w:r>
    </w:p>
    <w:tbl>
      <w:tblPr>
        <w:tblStyle w:val="GridTable4-Accent5"/>
        <w:tblW w:w="0" w:type="auto"/>
        <w:jc w:val="center"/>
        <w:tblLook w:val="04A0" w:firstRow="1" w:lastRow="0" w:firstColumn="1" w:lastColumn="0" w:noHBand="0" w:noVBand="1"/>
      </w:tblPr>
      <w:tblGrid>
        <w:gridCol w:w="1615"/>
        <w:gridCol w:w="676"/>
        <w:gridCol w:w="1047"/>
        <w:gridCol w:w="1047"/>
        <w:gridCol w:w="1047"/>
        <w:gridCol w:w="1109"/>
        <w:gridCol w:w="1109"/>
        <w:gridCol w:w="1708"/>
      </w:tblGrid>
      <w:tr w:rsidR="00303634" w14:paraId="0A087D41" w14:textId="77777777" w:rsidTr="003036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7A4C8544" w14:textId="516EFA36" w:rsidR="00303634" w:rsidRDefault="00303634" w:rsidP="00303634">
            <w:pPr>
              <w:jc w:val="center"/>
              <w:rPr>
                <w:sz w:val="22"/>
                <w:szCs w:val="22"/>
                <w:lang w:val="en-US" w:eastAsia="zh-CN"/>
              </w:rPr>
            </w:pPr>
            <w:r>
              <w:rPr>
                <w:rFonts w:hint="eastAsia"/>
                <w:sz w:val="22"/>
                <w:szCs w:val="22"/>
                <w:lang w:val="en-US" w:eastAsia="zh-CN"/>
              </w:rPr>
              <w:t>TP</w:t>
            </w:r>
            <w:r>
              <w:rPr>
                <w:sz w:val="22"/>
                <w:szCs w:val="22"/>
                <w:lang w:val="en-US" w:eastAsia="zh-CN"/>
              </w:rPr>
              <w:t>MI1 Index</w:t>
            </w:r>
          </w:p>
        </w:tc>
        <w:tc>
          <w:tcPr>
            <w:tcW w:w="7743" w:type="dxa"/>
            <w:gridSpan w:val="7"/>
          </w:tcPr>
          <w:p w14:paraId="685651E2" w14:textId="5A21CC06" w:rsidR="00303634" w:rsidRDefault="00303634" w:rsidP="00303634">
            <w:pPr>
              <w:spacing w:before="120" w:line="280" w:lineRule="atLeast"/>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Precoder</w:t>
            </w:r>
          </w:p>
        </w:tc>
      </w:tr>
      <w:tr w:rsidR="00303634" w14:paraId="60D06B25" w14:textId="77777777" w:rsidTr="003036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02B9EB67" w14:textId="09493639" w:rsidR="00303634" w:rsidRDefault="00303634" w:rsidP="00303634">
            <w:pPr>
              <w:jc w:val="center"/>
              <w:rPr>
                <w:sz w:val="22"/>
                <w:szCs w:val="22"/>
                <w:lang w:val="en-US" w:eastAsia="zh-CN"/>
              </w:rPr>
            </w:pPr>
            <w:r>
              <w:rPr>
                <w:rFonts w:hint="eastAsia"/>
                <w:sz w:val="22"/>
                <w:szCs w:val="22"/>
                <w:lang w:val="en-US" w:eastAsia="zh-CN"/>
              </w:rPr>
              <w:t>0-6</w:t>
            </w:r>
          </w:p>
        </w:tc>
        <w:tc>
          <w:tcPr>
            <w:tcW w:w="676" w:type="dxa"/>
          </w:tcPr>
          <w:p w14:paraId="31887827" w14:textId="2320357A" w:rsidR="00303634" w:rsidRDefault="00D5547E"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047" w:type="dxa"/>
          </w:tcPr>
          <w:p w14:paraId="5B7650AD" w14:textId="6FA9F623" w:rsidR="00303634" w:rsidRDefault="00D5547E"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047" w:type="dxa"/>
          </w:tcPr>
          <w:p w14:paraId="6501EBE4" w14:textId="0AD088BA" w:rsidR="00303634" w:rsidRDefault="00D5547E"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r>
                              <m:e>
                                <m:r>
                                  <w:rPr>
                                    <w:rFonts w:ascii="Cambria Math" w:hAnsi="Cambria Math"/>
                                    <w:sz w:val="22"/>
                                    <w:szCs w:val="22"/>
                                    <w:lang w:val="en-US" w:eastAsia="zh-CN"/>
                                  </w:rPr>
                                  <m:t>0</m:t>
                                </m:r>
                              </m:e>
                            </m:mr>
                          </m:m>
                        </m:e>
                      </m:mr>
                    </m:m>
                  </m:e>
                </m:d>
              </m:oMath>
            </m:oMathPara>
          </w:p>
        </w:tc>
        <w:tc>
          <w:tcPr>
            <w:tcW w:w="1047" w:type="dxa"/>
          </w:tcPr>
          <w:p w14:paraId="15C36B03" w14:textId="1BB97577" w:rsidR="00303634" w:rsidRDefault="00D5547E"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0</m:t>
                                </m:r>
                              </m:e>
                            </m:mr>
                            <m:mr>
                              <m:e>
                                <m:r>
                                  <w:rPr>
                                    <w:rFonts w:ascii="Cambria Math" w:hAnsi="Cambria Math"/>
                                    <w:sz w:val="22"/>
                                    <w:szCs w:val="22"/>
                                    <w:lang w:val="en-US" w:eastAsia="zh-CN"/>
                                  </w:rPr>
                                  <m:t>1</m:t>
                                </m:r>
                              </m:e>
                            </m:mr>
                          </m:m>
                        </m:e>
                      </m:mr>
                    </m:m>
                  </m:e>
                </m:d>
              </m:oMath>
            </m:oMathPara>
          </w:p>
        </w:tc>
        <w:tc>
          <w:tcPr>
            <w:tcW w:w="1109" w:type="dxa"/>
          </w:tcPr>
          <w:p w14:paraId="04ED1C1F" w14:textId="0813C27F" w:rsidR="00303634" w:rsidRDefault="00D5547E"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mr>
                          </m:m>
                        </m:e>
                      </m:mr>
                      <m:mr>
                        <m:e>
                          <m:m>
                            <m:mPr>
                              <m:mcs>
                                <m:mc>
                                  <m:mcPr>
                                    <m:count m:val="1"/>
                                    <m:mcJc m:val="center"/>
                                  </m:mcPr>
                                </m:mc>
                              </m:mcs>
                              <m:ctrlPr>
                                <w:rPr>
                                  <w:rFonts w:ascii="Cambria Math" w:hAnsi="Cambria Math"/>
                                  <w:i/>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1</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
                        </m:e>
                      </m:mr>
                    </m:m>
                  </m:e>
                </m:d>
              </m:oMath>
            </m:oMathPara>
          </w:p>
        </w:tc>
        <w:tc>
          <w:tcPr>
            <w:tcW w:w="1109" w:type="dxa"/>
          </w:tcPr>
          <w:p w14:paraId="175C966C" w14:textId="728745F1" w:rsidR="00303634" w:rsidRDefault="00D5547E"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r>
                        <m:e>
                          <m:m>
                            <m:mPr>
                              <m:mcs>
                                <m:mc>
                                  <m:mcPr>
                                    <m:count m:val="1"/>
                                    <m:mcJc m:val="center"/>
                                  </m:mcPr>
                                </m:mc>
                              </m:mcs>
                              <m:ctrlPr>
                                <w:rPr>
                                  <w:rFonts w:ascii="Cambria Math" w:hAnsi="Cambria Math"/>
                                  <w:i/>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1</m:t>
                                      </m:r>
                                    </m:e>
                                  </m:mr>
                                </m:m>
                              </m:e>
                            </m:mr>
                          </m:m>
                        </m:e>
                      </m:mr>
                    </m:m>
                  </m:e>
                </m:d>
              </m:oMath>
            </m:oMathPara>
          </w:p>
        </w:tc>
        <w:tc>
          <w:tcPr>
            <w:tcW w:w="1708" w:type="dxa"/>
          </w:tcPr>
          <w:p w14:paraId="560379CF" w14:textId="17A59AD0" w:rsidR="00303634" w:rsidRDefault="00D5547E" w:rsidP="00303634">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e>
                                      <m:r>
                                        <w:rPr>
                                          <w:rFonts w:ascii="Cambria Math" w:hAnsi="Cambria Math"/>
                                          <w:sz w:val="22"/>
                                          <w:szCs w:val="22"/>
                                          <w:lang w:val="en-US" w:eastAsia="zh-CN"/>
                                        </w:rPr>
                                        <m:t>0</m:t>
                                      </m:r>
                                    </m:e>
                                  </m:mr>
                                </m:m>
                              </m:e>
                            </m:mr>
                          </m:m>
                        </m:e>
                      </m:mr>
                      <m:mr>
                        <m:e>
                          <m:m>
                            <m:mPr>
                              <m:mcs>
                                <m:mc>
                                  <m:mcPr>
                                    <m:count m:val="1"/>
                                    <m:mcJc m:val="center"/>
                                  </m:mcPr>
                                </m:mc>
                              </m:mcs>
                              <m:ctrlPr>
                                <w:rPr>
                                  <w:rFonts w:ascii="Cambria Math" w:hAnsi="Cambria Math"/>
                                  <w:i/>
                                  <w:sz w:val="22"/>
                                  <w:szCs w:val="22"/>
                                  <w:lang w:val="en-US" w:eastAsia="zh-CN"/>
                                </w:rPr>
                              </m:ctrlPr>
                            </m:mP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e>
                                            <m:r>
                                              <w:rPr>
                                                <w:rFonts w:ascii="Cambria Math" w:hAnsi="Cambria Math"/>
                                                <w:sz w:val="22"/>
                                                <w:szCs w:val="22"/>
                                                <w:lang w:val="en-US" w:eastAsia="zh-CN"/>
                                              </w:rPr>
                                              <m:t>0</m:t>
                                            </m:r>
                                          </m:e>
                                        </m:mr>
                                      </m:m>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1</m:t>
                                            </m:r>
                                          </m:e>
                                          <m:e>
                                            <m:r>
                                              <w:rPr>
                                                <w:rFonts w:ascii="Cambria Math" w:hAnsi="Cambria Math"/>
                                                <w:sz w:val="22"/>
                                                <w:szCs w:val="22"/>
                                                <w:lang w:val="en-US" w:eastAsia="zh-CN"/>
                                              </w:rPr>
                                              <m:t>0</m:t>
                                            </m:r>
                                          </m:e>
                                        </m:mr>
                                      </m:m>
                                    </m:e>
                                  </m:mr>
                                </m:m>
                              </m:e>
                            </m:mr>
                            <m:m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m>
                                        <m:mPr>
                                          <m:mcs>
                                            <m:mc>
                                              <m:mcPr>
                                                <m:count m:val="3"/>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e>
                                            <m:r>
                                              <w:rPr>
                                                <w:rFonts w:ascii="Cambria Math" w:hAnsi="Cambria Math"/>
                                                <w:sz w:val="22"/>
                                                <w:szCs w:val="22"/>
                                                <w:lang w:val="en-US" w:eastAsia="zh-CN"/>
                                              </w:rPr>
                                              <m:t>0</m:t>
                                            </m:r>
                                          </m:e>
                                          <m:e>
                                            <m:r>
                                              <w:rPr>
                                                <w:rFonts w:ascii="Cambria Math" w:hAnsi="Cambria Math"/>
                                                <w:sz w:val="22"/>
                                                <w:szCs w:val="22"/>
                                                <w:lang w:val="en-US" w:eastAsia="zh-CN"/>
                                              </w:rPr>
                                              <m:t>1</m:t>
                                            </m:r>
                                          </m:e>
                                        </m:mr>
                                      </m:m>
                                    </m:e>
                                  </m:mr>
                                </m:m>
                              </m:e>
                            </m:mr>
                          </m:m>
                        </m:e>
                      </m:mr>
                    </m:m>
                  </m:e>
                </m:d>
              </m:oMath>
            </m:oMathPara>
          </w:p>
        </w:tc>
      </w:tr>
    </w:tbl>
    <w:p w14:paraId="71F98C75" w14:textId="77777777" w:rsidR="00CC0225" w:rsidRDefault="00CC0225" w:rsidP="00AC7949">
      <w:pPr>
        <w:ind w:firstLine="284"/>
        <w:jc w:val="both"/>
        <w:rPr>
          <w:sz w:val="22"/>
          <w:szCs w:val="22"/>
          <w:lang w:val="en-US" w:eastAsia="zh-CN"/>
        </w:rPr>
      </w:pPr>
    </w:p>
    <w:p w14:paraId="65A926E6" w14:textId="7879A3AD" w:rsidR="005D3897" w:rsidRDefault="005D3897" w:rsidP="00AC7949">
      <w:pPr>
        <w:ind w:firstLine="284"/>
        <w:jc w:val="both"/>
        <w:rPr>
          <w:sz w:val="22"/>
          <w:szCs w:val="22"/>
          <w:lang w:val="en-US" w:eastAsia="zh-CN"/>
        </w:rPr>
      </w:pPr>
      <w:r>
        <w:rPr>
          <w:sz w:val="22"/>
          <w:szCs w:val="22"/>
          <w:lang w:val="en-US" w:eastAsia="zh-CN"/>
        </w:rPr>
        <w:t>F</w:t>
      </w:r>
      <w:r>
        <w:rPr>
          <w:rFonts w:hint="eastAsia"/>
          <w:sz w:val="22"/>
          <w:szCs w:val="22"/>
          <w:lang w:val="en-US" w:eastAsia="zh-CN"/>
        </w:rPr>
        <w:t>o</w:t>
      </w:r>
      <w:r>
        <w:rPr>
          <w:sz w:val="22"/>
          <w:szCs w:val="22"/>
          <w:lang w:val="en-US" w:eastAsia="zh-CN"/>
        </w:rPr>
        <w:t>r DFT-s-OFDM waveform, the antenna combining based codebook has been agreed and the antenna selection based codebook should take the antenna panel selection into account. There can be different scenarios for the antenna panel selection: one is that the UE has 4 panels and one antenna port is used for 1 panel; the other is that the UE may have 2 panels with 2 antenna ports per panel. Then the rest of the codewords for antenna selection based codebook should be as Table 4.</w:t>
      </w:r>
    </w:p>
    <w:p w14:paraId="0914A7E5" w14:textId="3D72FDC1" w:rsidR="005D3897" w:rsidRPr="005D3897" w:rsidRDefault="005D3897" w:rsidP="005D3897">
      <w:pPr>
        <w:ind w:firstLine="284"/>
        <w:jc w:val="center"/>
        <w:rPr>
          <w:b/>
          <w:sz w:val="22"/>
          <w:szCs w:val="22"/>
          <w:lang w:val="en-US" w:eastAsia="zh-CN"/>
        </w:rPr>
      </w:pPr>
      <w:r w:rsidRPr="005D3897">
        <w:rPr>
          <w:b/>
          <w:sz w:val="22"/>
          <w:szCs w:val="22"/>
          <w:lang w:val="en-US" w:eastAsia="zh-CN"/>
        </w:rPr>
        <w:t>Table 4: Antenna selection based precoder for DFT-s-OFDM</w:t>
      </w:r>
    </w:p>
    <w:tbl>
      <w:tblPr>
        <w:tblStyle w:val="GridTable4-Accent5"/>
        <w:tblW w:w="0" w:type="auto"/>
        <w:jc w:val="center"/>
        <w:tblLook w:val="04A0" w:firstRow="1" w:lastRow="0" w:firstColumn="1" w:lastColumn="0" w:noHBand="0" w:noVBand="1"/>
      </w:tblPr>
      <w:tblGrid>
        <w:gridCol w:w="1615"/>
        <w:gridCol w:w="802"/>
        <w:gridCol w:w="1047"/>
        <w:gridCol w:w="1047"/>
        <w:gridCol w:w="1047"/>
        <w:gridCol w:w="1109"/>
        <w:gridCol w:w="1109"/>
        <w:gridCol w:w="1708"/>
      </w:tblGrid>
      <w:tr w:rsidR="005D3897" w14:paraId="4569D39E" w14:textId="77777777" w:rsidTr="005D389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47AE4117" w14:textId="58336D2D" w:rsidR="005D3897" w:rsidRDefault="005D3897" w:rsidP="005D3897">
            <w:pPr>
              <w:jc w:val="center"/>
              <w:rPr>
                <w:sz w:val="22"/>
                <w:szCs w:val="22"/>
                <w:lang w:val="en-US" w:eastAsia="zh-CN"/>
              </w:rPr>
            </w:pPr>
            <w:r>
              <w:rPr>
                <w:rFonts w:hint="eastAsia"/>
                <w:sz w:val="22"/>
                <w:szCs w:val="22"/>
                <w:lang w:val="en-US" w:eastAsia="zh-CN"/>
              </w:rPr>
              <w:t>TP</w:t>
            </w:r>
            <w:r w:rsidR="007C140F">
              <w:rPr>
                <w:sz w:val="22"/>
                <w:szCs w:val="22"/>
                <w:lang w:val="en-US" w:eastAsia="zh-CN"/>
              </w:rPr>
              <w:t>MI</w:t>
            </w:r>
            <w:r>
              <w:rPr>
                <w:sz w:val="22"/>
                <w:szCs w:val="22"/>
                <w:lang w:val="en-US" w:eastAsia="zh-CN"/>
              </w:rPr>
              <w:t xml:space="preserve"> Index</w:t>
            </w:r>
          </w:p>
        </w:tc>
        <w:tc>
          <w:tcPr>
            <w:tcW w:w="7743" w:type="dxa"/>
            <w:gridSpan w:val="7"/>
          </w:tcPr>
          <w:p w14:paraId="0303D75E" w14:textId="77777777" w:rsidR="005D3897" w:rsidRDefault="005D3897" w:rsidP="005D3897">
            <w:pPr>
              <w:spacing w:before="120" w:line="280" w:lineRule="atLeast"/>
              <w:jc w:val="cente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Precoder</w:t>
            </w:r>
          </w:p>
        </w:tc>
      </w:tr>
      <w:tr w:rsidR="005D3897" w14:paraId="1BF8DDA6" w14:textId="77777777" w:rsidTr="005D38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07E81D29" w14:textId="2BD8F670" w:rsidR="005D3897" w:rsidRDefault="005D3897" w:rsidP="005D3897">
            <w:pPr>
              <w:jc w:val="center"/>
              <w:rPr>
                <w:sz w:val="22"/>
                <w:szCs w:val="22"/>
                <w:lang w:val="en-US" w:eastAsia="zh-CN"/>
              </w:rPr>
            </w:pPr>
            <w:r>
              <w:rPr>
                <w:sz w:val="22"/>
                <w:szCs w:val="22"/>
                <w:lang w:val="en-US" w:eastAsia="zh-CN"/>
              </w:rPr>
              <w:t>16</w:t>
            </w:r>
            <w:r>
              <w:rPr>
                <w:rFonts w:hint="eastAsia"/>
                <w:sz w:val="22"/>
                <w:szCs w:val="22"/>
                <w:lang w:val="en-US" w:eastAsia="zh-CN"/>
              </w:rPr>
              <w:t>-</w:t>
            </w:r>
            <w:r>
              <w:rPr>
                <w:sz w:val="22"/>
                <w:szCs w:val="22"/>
                <w:lang w:val="en-US" w:eastAsia="zh-CN"/>
              </w:rPr>
              <w:t>22</w:t>
            </w:r>
          </w:p>
        </w:tc>
        <w:tc>
          <w:tcPr>
            <w:tcW w:w="676" w:type="dxa"/>
          </w:tcPr>
          <w:p w14:paraId="6EB36052" w14:textId="77777777" w:rsidR="005D3897" w:rsidRDefault="00D5547E" w:rsidP="005D3897">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047" w:type="dxa"/>
          </w:tcPr>
          <w:p w14:paraId="72830CFE" w14:textId="77777777" w:rsidR="005D3897" w:rsidRDefault="00D5547E" w:rsidP="005D3897">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047" w:type="dxa"/>
          </w:tcPr>
          <w:p w14:paraId="289658FF" w14:textId="77777777" w:rsidR="005D3897" w:rsidRDefault="00D5547E" w:rsidP="005D3897">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r>
                              <m:e>
                                <m:r>
                                  <w:rPr>
                                    <w:rFonts w:ascii="Cambria Math" w:hAnsi="Cambria Math"/>
                                    <w:sz w:val="22"/>
                                    <w:szCs w:val="22"/>
                                    <w:lang w:val="en-US" w:eastAsia="zh-CN"/>
                                  </w:rPr>
                                  <m:t>0</m:t>
                                </m:r>
                              </m:e>
                            </m:mr>
                          </m:m>
                        </m:e>
                      </m:mr>
                    </m:m>
                  </m:e>
                </m:d>
              </m:oMath>
            </m:oMathPara>
          </w:p>
        </w:tc>
        <w:tc>
          <w:tcPr>
            <w:tcW w:w="1047" w:type="dxa"/>
          </w:tcPr>
          <w:p w14:paraId="2AE0F7B2" w14:textId="77777777" w:rsidR="005D3897" w:rsidRDefault="00D5547E" w:rsidP="005D3897">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0</m:t>
                                </m:r>
                              </m:e>
                            </m:mr>
                            <m:mr>
                              <m:e>
                                <m:r>
                                  <w:rPr>
                                    <w:rFonts w:ascii="Cambria Math" w:hAnsi="Cambria Math"/>
                                    <w:sz w:val="22"/>
                                    <w:szCs w:val="22"/>
                                    <w:lang w:val="en-US" w:eastAsia="zh-CN"/>
                                  </w:rPr>
                                  <m:t>1</m:t>
                                </m:r>
                              </m:e>
                            </m:mr>
                          </m:m>
                        </m:e>
                      </m:mr>
                    </m:m>
                  </m:e>
                </m:d>
              </m:oMath>
            </m:oMathPara>
          </w:p>
        </w:tc>
        <w:tc>
          <w:tcPr>
            <w:tcW w:w="1109" w:type="dxa"/>
          </w:tcPr>
          <w:p w14:paraId="138B1EF7" w14:textId="5C43D532" w:rsidR="005D3897" w:rsidRDefault="00D5547E" w:rsidP="005D3897">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109" w:type="dxa"/>
          </w:tcPr>
          <w:p w14:paraId="5B2F9F27" w14:textId="12DA5FA7" w:rsidR="005D3897" w:rsidRDefault="00D5547E" w:rsidP="005D3897">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708" w:type="dxa"/>
          </w:tcPr>
          <w:p w14:paraId="4CF98890" w14:textId="3EF1F1EF" w:rsidR="005D3897" w:rsidRDefault="00D5547E" w:rsidP="005D3897">
            <w:pPr>
              <w:jc w:val="center"/>
              <w:cnfStyle w:val="000000100000" w:firstRow="0" w:lastRow="0" w:firstColumn="0" w:lastColumn="0" w:oddVBand="0" w:evenVBand="0" w:oddHBand="1"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j</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r>
      <w:tr w:rsidR="007C140F" w14:paraId="2DB03741" w14:textId="77777777" w:rsidTr="005D3897">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138AC9E6" w14:textId="1545CF25" w:rsidR="007C140F" w:rsidRDefault="007C140F" w:rsidP="005D3897">
            <w:pPr>
              <w:jc w:val="center"/>
              <w:rPr>
                <w:sz w:val="22"/>
                <w:szCs w:val="22"/>
                <w:lang w:val="en-US" w:eastAsia="zh-CN"/>
              </w:rPr>
            </w:pPr>
            <w:r>
              <w:rPr>
                <w:rFonts w:hint="eastAsia"/>
                <w:sz w:val="22"/>
                <w:szCs w:val="22"/>
                <w:lang w:val="en-US" w:eastAsia="zh-CN"/>
              </w:rPr>
              <w:t>2</w:t>
            </w:r>
            <w:r>
              <w:rPr>
                <w:sz w:val="22"/>
                <w:szCs w:val="22"/>
                <w:lang w:val="en-US" w:eastAsia="zh-CN"/>
              </w:rPr>
              <w:t>3-27</w:t>
            </w:r>
          </w:p>
        </w:tc>
        <w:tc>
          <w:tcPr>
            <w:tcW w:w="676" w:type="dxa"/>
          </w:tcPr>
          <w:p w14:paraId="4E703EB7" w14:textId="50A9BEC5" w:rsidR="007C140F" w:rsidRDefault="00D5547E" w:rsidP="005D3897">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-j</m:t>
                                </m:r>
                              </m:e>
                            </m:mr>
                            <m:mr>
                              <m:e>
                                <m:r>
                                  <w:rPr>
                                    <w:rFonts w:ascii="Cambria Math" w:hAnsi="Cambria Math"/>
                                    <w:sz w:val="22"/>
                                    <w:szCs w:val="22"/>
                                    <w:lang w:val="en-US" w:eastAsia="zh-CN"/>
                                  </w:rPr>
                                  <m:t>0</m:t>
                                </m:r>
                              </m:e>
                            </m:mr>
                            <m:mr>
                              <m:e>
                                <m:r>
                                  <w:rPr>
                                    <w:rFonts w:ascii="Cambria Math" w:hAnsi="Cambria Math"/>
                                    <w:sz w:val="22"/>
                                    <w:szCs w:val="22"/>
                                    <w:lang w:val="en-US" w:eastAsia="zh-CN"/>
                                  </w:rPr>
                                  <m:t>0</m:t>
                                </m:r>
                              </m:e>
                            </m:mr>
                          </m:m>
                        </m:e>
                      </m:mr>
                    </m:m>
                  </m:e>
                </m:d>
              </m:oMath>
            </m:oMathPara>
          </w:p>
        </w:tc>
        <w:tc>
          <w:tcPr>
            <w:tcW w:w="1047" w:type="dxa"/>
          </w:tcPr>
          <w:p w14:paraId="4322DB3B" w14:textId="7DFAB831" w:rsidR="007C140F" w:rsidRDefault="00D5547E" w:rsidP="005D3897">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r>
                              <m:e>
                                <m:r>
                                  <w:rPr>
                                    <w:rFonts w:ascii="Cambria Math" w:hAnsi="Cambria Math"/>
                                    <w:sz w:val="22"/>
                                    <w:szCs w:val="22"/>
                                    <w:lang w:val="en-US" w:eastAsia="zh-CN"/>
                                  </w:rPr>
                                  <m:t>1</m:t>
                                </m:r>
                              </m:e>
                            </m:mr>
                          </m:m>
                        </m:e>
                      </m:mr>
                    </m:m>
                  </m:e>
                </m:d>
              </m:oMath>
            </m:oMathPara>
          </w:p>
        </w:tc>
        <w:tc>
          <w:tcPr>
            <w:tcW w:w="1047" w:type="dxa"/>
          </w:tcPr>
          <w:p w14:paraId="2B413DBA" w14:textId="149656C5" w:rsidR="007C140F" w:rsidRDefault="00D5547E" w:rsidP="005D3897">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r>
                              <m:e>
                                <m:r>
                                  <w:rPr>
                                    <w:rFonts w:ascii="Cambria Math" w:hAnsi="Cambria Math"/>
                                    <w:sz w:val="22"/>
                                    <w:szCs w:val="22"/>
                                    <w:lang w:val="en-US" w:eastAsia="zh-CN"/>
                                  </w:rPr>
                                  <m:t>-1</m:t>
                                </m:r>
                              </m:e>
                            </m:mr>
                          </m:m>
                        </m:e>
                      </m:mr>
                    </m:m>
                  </m:e>
                </m:d>
              </m:oMath>
            </m:oMathPara>
          </w:p>
        </w:tc>
        <w:tc>
          <w:tcPr>
            <w:tcW w:w="1047" w:type="dxa"/>
          </w:tcPr>
          <w:p w14:paraId="00E9D381" w14:textId="165D4896" w:rsidR="007C140F" w:rsidRDefault="00D5547E" w:rsidP="007C140F">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r>
                              <m:e>
                                <m:r>
                                  <w:rPr>
                                    <w:rFonts w:ascii="Cambria Math" w:hAnsi="Cambria Math"/>
                                    <w:sz w:val="22"/>
                                    <w:szCs w:val="22"/>
                                    <w:lang w:val="en-US" w:eastAsia="zh-CN"/>
                                  </w:rPr>
                                  <m:t>j</m:t>
                                </m:r>
                              </m:e>
                            </m:mr>
                          </m:m>
                        </m:e>
                      </m:mr>
                    </m:m>
                  </m:e>
                </m:d>
              </m:oMath>
            </m:oMathPara>
          </w:p>
        </w:tc>
        <w:tc>
          <w:tcPr>
            <w:tcW w:w="1109" w:type="dxa"/>
          </w:tcPr>
          <w:p w14:paraId="2563A18E" w14:textId="7CF8D758" w:rsidR="007C140F" w:rsidRDefault="00D5547E" w:rsidP="005D3897">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m:oMathPara>
              <m:oMath>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0</m:t>
                          </m:r>
                        </m:e>
                      </m:mr>
                      <m:m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0</m:t>
                                </m:r>
                              </m:e>
                            </m:mr>
                            <m:mr>
                              <m:e>
                                <m:r>
                                  <w:rPr>
                                    <w:rFonts w:ascii="Cambria Math" w:hAnsi="Cambria Math"/>
                                    <w:sz w:val="22"/>
                                    <w:szCs w:val="22"/>
                                    <w:lang w:val="en-US" w:eastAsia="zh-CN"/>
                                  </w:rPr>
                                  <m:t>1</m:t>
                                </m:r>
                              </m:e>
                            </m:mr>
                            <m:mr>
                              <m:e>
                                <m:r>
                                  <w:rPr>
                                    <w:rFonts w:ascii="Cambria Math" w:hAnsi="Cambria Math"/>
                                    <w:sz w:val="22"/>
                                    <w:szCs w:val="22"/>
                                    <w:lang w:val="en-US" w:eastAsia="zh-CN"/>
                                  </w:rPr>
                                  <m:t>-j</m:t>
                                </m:r>
                              </m:e>
                            </m:mr>
                          </m:m>
                        </m:e>
                      </m:mr>
                    </m:m>
                  </m:e>
                </m:d>
              </m:oMath>
            </m:oMathPara>
          </w:p>
        </w:tc>
        <w:tc>
          <w:tcPr>
            <w:tcW w:w="1109" w:type="dxa"/>
          </w:tcPr>
          <w:p w14:paraId="7A398612" w14:textId="77777777" w:rsidR="007C140F" w:rsidRDefault="007C140F" w:rsidP="005D3897">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p>
        </w:tc>
        <w:tc>
          <w:tcPr>
            <w:tcW w:w="1708" w:type="dxa"/>
          </w:tcPr>
          <w:p w14:paraId="0BD962CE" w14:textId="77777777" w:rsidR="007C140F" w:rsidRDefault="007C140F" w:rsidP="005D3897">
            <w:pPr>
              <w:jc w:val="center"/>
              <w:cnfStyle w:val="000000000000" w:firstRow="0" w:lastRow="0" w:firstColumn="0" w:lastColumn="0" w:oddVBand="0" w:evenVBand="0" w:oddHBand="0" w:evenHBand="0" w:firstRowFirstColumn="0" w:firstRowLastColumn="0" w:lastRowFirstColumn="0" w:lastRowLastColumn="0"/>
              <w:rPr>
                <w:sz w:val="22"/>
                <w:szCs w:val="22"/>
                <w:lang w:val="en-US" w:eastAsia="zh-CN"/>
              </w:rPr>
            </w:pPr>
          </w:p>
        </w:tc>
      </w:tr>
    </w:tbl>
    <w:p w14:paraId="7D7B3A56" w14:textId="77777777" w:rsidR="005D3897" w:rsidRDefault="005D3897" w:rsidP="00AC7949">
      <w:pPr>
        <w:ind w:firstLine="284"/>
        <w:jc w:val="both"/>
        <w:rPr>
          <w:sz w:val="22"/>
          <w:szCs w:val="22"/>
          <w:lang w:val="en-US" w:eastAsia="zh-CN"/>
        </w:rPr>
      </w:pPr>
    </w:p>
    <w:p w14:paraId="186F8776" w14:textId="47BF1989" w:rsidR="00A1341C" w:rsidRPr="00A1341C" w:rsidRDefault="00A1341C" w:rsidP="00AC7949">
      <w:pPr>
        <w:ind w:firstLine="284"/>
        <w:jc w:val="both"/>
        <w:rPr>
          <w:b/>
          <w:i/>
          <w:sz w:val="22"/>
          <w:szCs w:val="22"/>
          <w:lang w:val="en-US" w:eastAsia="zh-CN"/>
        </w:rPr>
      </w:pPr>
      <w:r w:rsidRPr="00A1341C">
        <w:rPr>
          <w:b/>
          <w:i/>
          <w:sz w:val="22"/>
          <w:szCs w:val="22"/>
          <w:lang w:val="en-US" w:eastAsia="zh-CN"/>
        </w:rPr>
        <w:t>Proposal 4: The 4Tx codebook should support both antenna selection and antenna combining.</w:t>
      </w:r>
    </w:p>
    <w:p w14:paraId="094379D6" w14:textId="776A95FF" w:rsidR="00A1341C" w:rsidRDefault="00A1341C" w:rsidP="00AC7949">
      <w:pPr>
        <w:ind w:firstLine="284"/>
        <w:jc w:val="both"/>
        <w:rPr>
          <w:b/>
          <w:i/>
          <w:sz w:val="22"/>
          <w:szCs w:val="22"/>
          <w:lang w:val="en-US" w:eastAsia="zh-CN"/>
        </w:rPr>
      </w:pPr>
      <w:r w:rsidRPr="00A1341C">
        <w:rPr>
          <w:b/>
          <w:i/>
          <w:sz w:val="22"/>
          <w:szCs w:val="22"/>
          <w:lang w:val="en-US" w:eastAsia="zh-CN"/>
        </w:rPr>
        <w:t xml:space="preserve">Proposal 5: For </w:t>
      </w:r>
      <w:r w:rsidR="007C140F">
        <w:rPr>
          <w:b/>
          <w:i/>
          <w:sz w:val="22"/>
          <w:szCs w:val="22"/>
          <w:lang w:val="en-US" w:eastAsia="zh-CN"/>
        </w:rPr>
        <w:t xml:space="preserve">CP-OFDM, for </w:t>
      </w:r>
      <w:r w:rsidRPr="00A1341C">
        <w:rPr>
          <w:b/>
          <w:i/>
          <w:sz w:val="22"/>
          <w:szCs w:val="22"/>
          <w:lang w:val="en-US" w:eastAsia="zh-CN"/>
        </w:rPr>
        <w:t>wideband precoding, the TPMI is based on a single stage codebook; for subband precoding the TPMI can be based on a dual-stage codebook where the first stage is for antenna selection and the second stage is for the co-phasing of selected antenna ports.</w:t>
      </w:r>
    </w:p>
    <w:p w14:paraId="4F094901" w14:textId="7D8C761C" w:rsidR="007C140F" w:rsidRPr="00A1341C" w:rsidRDefault="007C140F" w:rsidP="00AC7949">
      <w:pPr>
        <w:ind w:firstLine="284"/>
        <w:jc w:val="both"/>
        <w:rPr>
          <w:b/>
          <w:i/>
          <w:sz w:val="22"/>
          <w:szCs w:val="22"/>
          <w:lang w:val="en-US" w:eastAsia="zh-CN"/>
        </w:rPr>
      </w:pPr>
      <w:r>
        <w:rPr>
          <w:b/>
          <w:i/>
          <w:sz w:val="22"/>
          <w:szCs w:val="22"/>
          <w:lang w:val="en-US" w:eastAsia="zh-CN"/>
        </w:rPr>
        <w:t>Proposal 6: For DFT-s-OFDM, the precoders in Table 4 should be supported for antenna selection.</w:t>
      </w:r>
    </w:p>
    <w:p w14:paraId="008170D8" w14:textId="0D0549B8" w:rsidR="000E0A57" w:rsidRPr="002B151A" w:rsidRDefault="00C61B02" w:rsidP="00873422">
      <w:pPr>
        <w:pStyle w:val="Heading2"/>
        <w:rPr>
          <w:lang w:val="en-US" w:eastAsia="zh-CN"/>
        </w:rPr>
      </w:pPr>
      <w:r>
        <w:rPr>
          <w:lang w:val="en-US" w:eastAsia="zh-CN"/>
        </w:rPr>
        <w:t>2.4</w:t>
      </w:r>
      <w:r w:rsidR="00873422">
        <w:rPr>
          <w:lang w:val="en-US" w:eastAsia="zh-CN"/>
        </w:rPr>
        <w:t xml:space="preserve"> </w:t>
      </w:r>
      <w:r w:rsidR="00FD43D6">
        <w:rPr>
          <w:lang w:val="en-US" w:eastAsia="zh-CN"/>
        </w:rPr>
        <w:t>Control Signaling</w:t>
      </w:r>
      <w:r>
        <w:rPr>
          <w:lang w:val="en-US" w:eastAsia="zh-CN"/>
        </w:rPr>
        <w:t xml:space="preserve"> for Subband Precoding</w:t>
      </w:r>
    </w:p>
    <w:p w14:paraId="5A104784" w14:textId="2A858028"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w:t>
      </w:r>
      <w:r w:rsidR="00154620">
        <w:rPr>
          <w:sz w:val="22"/>
          <w:szCs w:val="22"/>
          <w:lang w:val="en-US" w:eastAsia="zh-CN"/>
        </w:rPr>
        <w:lastRenderedPageBreak/>
        <w:t xml:space="preserve">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r w:rsidR="008F4786">
        <w:rPr>
          <w:sz w:val="22"/>
          <w:szCs w:val="22"/>
          <w:lang w:val="en-US" w:eastAsia="zh-CN"/>
        </w:rPr>
        <w:t>Then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w:t>
      </w:r>
    </w:p>
    <w:p w14:paraId="1755AD68" w14:textId="46CC6629"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035958">
        <w:rPr>
          <w:sz w:val="22"/>
          <w:szCs w:val="22"/>
          <w:lang w:val="en-US" w:eastAsia="zh-CN"/>
        </w:rPr>
        <w:t>As what has been agreed that</w:t>
      </w:r>
      <w:r w:rsidR="00E15468">
        <w:rPr>
          <w:sz w:val="22"/>
          <w:szCs w:val="22"/>
          <w:lang w:val="en-US" w:eastAsia="zh-CN"/>
        </w:rPr>
        <w:t xml:space="preserv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217FA4AF"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 xml:space="preserve">Alt 1:Subband TPMIs are signaled via DCI to the UE only for allocated PRBs for a given PUSCH transmission </w:t>
      </w:r>
    </w:p>
    <w:p w14:paraId="38DD99A1"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Alt 2:Subband TPMIs are signaled via DCI to the UE for all PRBs in UL, regardless of the actual RA for a given PUSCH transmission</w:t>
      </w:r>
    </w:p>
    <w:p w14:paraId="6722EC98" w14:textId="34DDD1A4" w:rsidR="00BA5B1B" w:rsidRDefault="000972CD" w:rsidP="004513BD">
      <w:pPr>
        <w:spacing w:before="120" w:after="120"/>
        <w:ind w:firstLine="288"/>
        <w:jc w:val="both"/>
        <w:rPr>
          <w:sz w:val="22"/>
          <w:szCs w:val="22"/>
          <w:lang w:val="en-US" w:eastAsia="zh-CN"/>
        </w:rPr>
      </w:pPr>
      <w:r>
        <w:rPr>
          <w:sz w:val="22"/>
          <w:szCs w:val="22"/>
          <w:lang w:val="en-US" w:eastAsia="zh-CN"/>
        </w:rPr>
        <w:t xml:space="preserve">For </w:t>
      </w:r>
      <w:r w:rsidR="008F4786">
        <w:rPr>
          <w:sz w:val="22"/>
          <w:szCs w:val="22"/>
          <w:lang w:val="en-US" w:eastAsia="zh-CN"/>
        </w:rPr>
        <w:t>Alt</w:t>
      </w:r>
      <w:r>
        <w:rPr>
          <w:sz w:val="22"/>
          <w:szCs w:val="22"/>
          <w:lang w:val="en-US" w:eastAsia="zh-CN"/>
        </w:rPr>
        <w:t xml:space="preserve"> 1, </w:t>
      </w:r>
      <w:r w:rsidR="008F4786">
        <w:rPr>
          <w:sz w:val="22"/>
          <w:szCs w:val="22"/>
          <w:lang w:val="en-US" w:eastAsia="zh-CN"/>
        </w:rPr>
        <w:t>the subband TPMI should be transmitted in every uplink grant, then the overhead could be one issue. For example, if the UE has 4</w:t>
      </w:r>
      <w:r>
        <w:rPr>
          <w:sz w:val="22"/>
          <w:szCs w:val="22"/>
          <w:lang w:val="en-US" w:eastAsia="zh-CN"/>
        </w:rPr>
        <w:t xml:space="preserve">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w:t>
      </w:r>
      <w:r w:rsidR="008F4786">
        <w:rPr>
          <w:sz w:val="22"/>
          <w:szCs w:val="22"/>
          <w:lang w:val="en-US" w:eastAsia="zh-CN"/>
        </w:rPr>
        <w:t>resource allocation case</w:t>
      </w:r>
      <w:r>
        <w:rPr>
          <w:sz w:val="22"/>
          <w:szCs w:val="22"/>
          <w:lang w:val="en-US" w:eastAsia="zh-CN"/>
        </w:rPr>
        <w:t>, the paylo</w:t>
      </w:r>
      <w:r w:rsidR="008F4786">
        <w:rPr>
          <w:sz w:val="22"/>
          <w:szCs w:val="22"/>
          <w:lang w:val="en-US" w:eastAsia="zh-CN"/>
        </w:rPr>
        <w:t>ad for the independent DCI of TPMI indication could be about 116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r w:rsidR="00C902B6">
        <w:rPr>
          <w:sz w:val="22"/>
          <w:szCs w:val="22"/>
          <w:lang w:val="en-US" w:eastAsia="zh-CN"/>
        </w:rPr>
        <w:t>Hence, one possible way is to support fixed number of precoders with dynamic range of subband size. However there could be the following issues:</w:t>
      </w:r>
    </w:p>
    <w:p w14:paraId="1B194E4E" w14:textId="5CE23950" w:rsidR="00C902B6" w:rsidRPr="006530FC" w:rsidRDefault="00C902B6"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Non-uniform size of subband. If the number of subband precoder is fixed to be N, it would be better to schedule </w:t>
      </w:r>
      <w:proofErr w:type="spellStart"/>
      <w:r w:rsidRPr="006530FC">
        <w:rPr>
          <w:rFonts w:ascii="Times New Roman" w:eastAsiaTheme="minorEastAsia" w:hAnsi="Times New Roman"/>
          <w:lang w:eastAsia="zh-CN"/>
        </w:rPr>
        <w:t>kN</w:t>
      </w:r>
      <w:proofErr w:type="spellEnd"/>
      <w:r w:rsidRPr="006530FC">
        <w:rPr>
          <w:rFonts w:ascii="Times New Roman" w:eastAsiaTheme="minorEastAsia" w:hAnsi="Times New Roman"/>
          <w:lang w:eastAsia="zh-CN"/>
        </w:rPr>
        <w:t xml:space="preserve"> RBs, where k=1</w:t>
      </w:r>
      <w:proofErr w:type="gramStart"/>
      <w:r w:rsidRPr="006530FC">
        <w:rPr>
          <w:rFonts w:ascii="Times New Roman" w:eastAsiaTheme="minorEastAsia" w:hAnsi="Times New Roman"/>
          <w:lang w:eastAsia="zh-CN"/>
        </w:rPr>
        <w:t>,2</w:t>
      </w:r>
      <w:proofErr w:type="gramEnd"/>
      <w:r w:rsidRPr="006530FC">
        <w:rPr>
          <w:rFonts w:ascii="Times New Roman" w:eastAsiaTheme="minorEastAsia" w:hAnsi="Times New Roman"/>
          <w:lang w:eastAsia="zh-CN"/>
        </w:rPr>
        <w:t xml:space="preserve">,…,K. </w:t>
      </w:r>
      <w:r w:rsidR="006530FC" w:rsidRPr="006530FC">
        <w:rPr>
          <w:rFonts w:ascii="Times New Roman" w:eastAsiaTheme="minorEastAsia" w:hAnsi="Times New Roman"/>
          <w:lang w:eastAsia="zh-CN"/>
        </w:rPr>
        <w:t>Otherwise, the size of subband could be non-uniform. For example, if the number of subband precoder is fixed to be 4, it is not easy to define the precoder for each RBs if the number of scheduled RBs is 2 or 6.</w:t>
      </w:r>
    </w:p>
    <w:p w14:paraId="3542C091" w14:textId="7CE70F8D" w:rsidR="006530FC" w:rsidRPr="006530FC" w:rsidRDefault="006530FC"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Potential MCS mismatch. </w:t>
      </w:r>
      <w:r>
        <w:rPr>
          <w:rFonts w:ascii="Times New Roman" w:eastAsiaTheme="minorEastAsia" w:hAnsi="Times New Roman"/>
          <w:lang w:eastAsia="zh-CN"/>
        </w:rPr>
        <w:t xml:space="preserve">When receiving the SRS, the gNB could perform the link adaptation based on estimated precoder for each subband. However if the size of subband could be dynamically changed, sometimes the estimated SINR for each subband in link adaptation may not accurately reflect real SINR for a subband whose size is larger than the that used for link adaptation. </w:t>
      </w:r>
    </w:p>
    <w:p w14:paraId="7A327010" w14:textId="5A2281B3" w:rsidR="008F4786" w:rsidRDefault="008F4786" w:rsidP="004513BD">
      <w:pPr>
        <w:spacing w:before="120" w:after="120"/>
        <w:ind w:firstLine="288"/>
        <w:jc w:val="both"/>
        <w:rPr>
          <w:sz w:val="22"/>
          <w:szCs w:val="22"/>
          <w:lang w:val="en-US" w:eastAsia="zh-CN"/>
        </w:rPr>
      </w:pPr>
      <w:r>
        <w:rPr>
          <w:sz w:val="22"/>
          <w:szCs w:val="22"/>
          <w:lang w:val="en-US" w:eastAsia="zh-CN"/>
        </w:rPr>
        <w:t xml:space="preserve">For Alt2, as the subband TPMI is not transmitted in every uplink grant, the overhead could not be significant. If the SRS is not transmitted, most likely the precoder would not change. </w:t>
      </w:r>
      <w:r w:rsidR="007C59DC">
        <w:rPr>
          <w:sz w:val="22"/>
          <w:szCs w:val="22"/>
          <w:lang w:val="en-US" w:eastAsia="zh-CN"/>
        </w:rPr>
        <w:t>Figure 1 illustrates one example for the subband TPMI indication for alt2.</w:t>
      </w:r>
    </w:p>
    <w:p w14:paraId="78D6A5D0" w14:textId="53463C2C" w:rsidR="007C59DC" w:rsidRDefault="007C59DC" w:rsidP="007C59DC">
      <w:pPr>
        <w:spacing w:before="120" w:after="120"/>
        <w:ind w:firstLine="288"/>
        <w:jc w:val="center"/>
        <w:rPr>
          <w:sz w:val="22"/>
          <w:szCs w:val="22"/>
          <w:lang w:val="en-US" w:eastAsia="zh-CN"/>
        </w:rPr>
      </w:pPr>
      <w:r>
        <w:object w:dxaOrig="9931" w:dyaOrig="2521" w14:anchorId="492A0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126pt" o:ole="">
            <v:imagedata r:id="rId12" o:title=""/>
          </v:shape>
          <o:OLEObject Type="Embed" ProgID="Visio.Drawing.15" ShapeID="_x0000_i1025" DrawAspect="Content" ObjectID="_1568267990" r:id="rId13"/>
        </w:object>
      </w:r>
      <w:r w:rsidRPr="007C59DC">
        <w:rPr>
          <w:rFonts w:hint="eastAsia"/>
          <w:b/>
          <w:sz w:val="22"/>
          <w:szCs w:val="22"/>
          <w:lang w:val="en-US" w:eastAsia="zh-CN"/>
        </w:rPr>
        <w:t>Figure 1: one example for subband TPMI indication for Alt2</w:t>
      </w:r>
    </w:p>
    <w:p w14:paraId="71CAEC46" w14:textId="3E5471CA"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w:t>
      </w:r>
      <w:r w:rsidR="00CA59AB">
        <w:rPr>
          <w:sz w:val="22"/>
          <w:szCs w:val="22"/>
          <w:lang w:val="en-US" w:eastAsia="zh-CN"/>
        </w:rPr>
        <w:t xml:space="preserve">resource allocation in </w:t>
      </w:r>
      <w:r>
        <w:rPr>
          <w:sz w:val="22"/>
          <w:szCs w:val="22"/>
          <w:lang w:val="en-US" w:eastAsia="zh-CN"/>
        </w:rPr>
        <w:t>uplink grant</w:t>
      </w:r>
      <w:r w:rsidR="00CA59AB">
        <w:rPr>
          <w:sz w:val="22"/>
          <w:szCs w:val="22"/>
          <w:lang w:val="en-US" w:eastAsia="zh-CN"/>
        </w:rPr>
        <w:t>, which is similar to LTE TM4</w:t>
      </w:r>
      <w:r>
        <w:rPr>
          <w:sz w:val="22"/>
          <w:szCs w:val="22"/>
          <w:lang w:val="en-US" w:eastAsia="zh-CN"/>
        </w:rPr>
        <w:t xml:space="preserve">. </w:t>
      </w:r>
      <w:r w:rsidR="00CA59AB">
        <w:rPr>
          <w:sz w:val="22"/>
          <w:szCs w:val="22"/>
          <w:lang w:val="en-US" w:eastAsia="zh-CN"/>
        </w:rPr>
        <w:t>An effective time window for the subband TPMI can be defined so that if the subband TPMI expires, the wideband precoder could be used as a fallback transmission scheme. Within the effective time window, if the UE is scheduled with subband precoder based transmission scheme, the latest subband TPMI received should be used.</w:t>
      </w:r>
    </w:p>
    <w:p w14:paraId="5E455E63" w14:textId="4F01BB0D" w:rsidR="0057043C" w:rsidRDefault="0057043C" w:rsidP="0057043C">
      <w:pPr>
        <w:ind w:firstLine="284"/>
        <w:rPr>
          <w:b/>
          <w:i/>
          <w:sz w:val="22"/>
          <w:szCs w:val="22"/>
          <w:lang w:val="en-US" w:eastAsia="zh-CN"/>
        </w:rPr>
      </w:pPr>
      <w:r w:rsidRPr="0057043C">
        <w:rPr>
          <w:b/>
          <w:i/>
          <w:sz w:val="22"/>
          <w:szCs w:val="22"/>
          <w:lang w:val="en-US" w:eastAsia="zh-CN"/>
        </w:rPr>
        <w:t xml:space="preserve">Proposal </w:t>
      </w:r>
      <w:r w:rsidR="007C140F">
        <w:rPr>
          <w:b/>
          <w:i/>
          <w:sz w:val="22"/>
          <w:szCs w:val="22"/>
          <w:lang w:val="en-US" w:eastAsia="zh-CN"/>
        </w:rPr>
        <w:t>7</w:t>
      </w:r>
      <w:r w:rsidRPr="0057043C">
        <w:rPr>
          <w:b/>
          <w:i/>
          <w:sz w:val="22"/>
          <w:szCs w:val="22"/>
          <w:lang w:val="en-US" w:eastAsia="zh-CN"/>
        </w:rPr>
        <w:t>:</w:t>
      </w:r>
      <w:r w:rsidR="00E61764">
        <w:rPr>
          <w:b/>
          <w:i/>
          <w:sz w:val="22"/>
          <w:szCs w:val="22"/>
          <w:lang w:val="en-US" w:eastAsia="zh-CN"/>
        </w:rPr>
        <w:t xml:space="preserve"> </w:t>
      </w:r>
      <w:r w:rsidR="00CA59AB">
        <w:rPr>
          <w:b/>
          <w:i/>
          <w:sz w:val="22"/>
          <w:szCs w:val="22"/>
          <w:lang w:val="en-US" w:eastAsia="zh-CN"/>
        </w:rPr>
        <w:t>The wideband and subband precoder based transmission scheme should be dynamically switched</w:t>
      </w:r>
      <w:r w:rsidR="00E61764">
        <w:rPr>
          <w:b/>
          <w:i/>
          <w:sz w:val="22"/>
          <w:szCs w:val="22"/>
          <w:lang w:val="en-US" w:eastAsia="zh-CN"/>
        </w:rPr>
        <w:t>.</w:t>
      </w:r>
    </w:p>
    <w:p w14:paraId="6B4B2261" w14:textId="241EDE95" w:rsidR="00CA59AB" w:rsidRPr="0057043C" w:rsidRDefault="007C140F" w:rsidP="0057043C">
      <w:pPr>
        <w:ind w:firstLine="284"/>
        <w:rPr>
          <w:b/>
          <w:i/>
          <w:sz w:val="22"/>
          <w:szCs w:val="22"/>
          <w:lang w:val="en-US" w:eastAsia="zh-CN"/>
        </w:rPr>
      </w:pPr>
      <w:r>
        <w:rPr>
          <w:b/>
          <w:i/>
          <w:sz w:val="22"/>
          <w:szCs w:val="22"/>
          <w:lang w:val="en-US" w:eastAsia="zh-CN"/>
        </w:rPr>
        <w:lastRenderedPageBreak/>
        <w:t>Proposal 8</w:t>
      </w:r>
      <w:r w:rsidR="00CA59AB">
        <w:rPr>
          <w:b/>
          <w:i/>
          <w:sz w:val="22"/>
          <w:szCs w:val="22"/>
          <w:lang w:val="en-US" w:eastAsia="zh-CN"/>
        </w:rPr>
        <w:t>: It should be supported that s</w:t>
      </w:r>
      <w:r w:rsidR="00CA59AB" w:rsidRPr="00CA59AB">
        <w:rPr>
          <w:b/>
          <w:i/>
          <w:sz w:val="22"/>
          <w:szCs w:val="22"/>
          <w:lang w:val="en-US" w:eastAsia="zh-CN"/>
        </w:rPr>
        <w:t>ubband TPMIs are signaled via DCI to the UE for all PRBs in UL, regardless of the actual RA for a given PUSCH transmission</w:t>
      </w:r>
      <w:r w:rsidR="00CA59AB">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2534A9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1465C303" w14:textId="77777777" w:rsidR="00A1341C" w:rsidRDefault="00A1341C" w:rsidP="00A1341C">
      <w:pPr>
        <w:ind w:firstLine="284"/>
        <w:jc w:val="both"/>
        <w:rPr>
          <w:b/>
          <w:i/>
          <w:sz w:val="22"/>
          <w:szCs w:val="22"/>
          <w:lang w:val="en-US" w:eastAsia="zh-CN"/>
        </w:rPr>
      </w:pPr>
      <w:r>
        <w:rPr>
          <w:rFonts w:hint="eastAsia"/>
          <w:b/>
          <w:i/>
          <w:sz w:val="22"/>
          <w:szCs w:val="22"/>
          <w:lang w:val="en-US" w:eastAsia="zh-CN"/>
        </w:rPr>
        <w:t>Proposa</w:t>
      </w:r>
      <w:r>
        <w:rPr>
          <w:b/>
          <w:i/>
          <w:sz w:val="22"/>
          <w:szCs w:val="22"/>
          <w:lang w:val="en-US" w:eastAsia="zh-CN"/>
        </w:rPr>
        <w:t>l 1: It should be supported that the UE reports its number of antenna ports per subset and number of antenna ports subsets, where the antenna ports in a sub-sets can support coherent transmission.</w:t>
      </w:r>
    </w:p>
    <w:p w14:paraId="5658E8E8" w14:textId="77777777" w:rsidR="00A1341C" w:rsidRDefault="00A1341C" w:rsidP="00A1341C">
      <w:pPr>
        <w:ind w:firstLine="284"/>
        <w:jc w:val="both"/>
        <w:rPr>
          <w:b/>
          <w:i/>
          <w:sz w:val="22"/>
          <w:szCs w:val="22"/>
          <w:lang w:val="en-US" w:eastAsia="zh-CN"/>
        </w:rPr>
      </w:pPr>
      <w:r>
        <w:rPr>
          <w:b/>
          <w:i/>
          <w:sz w:val="22"/>
          <w:szCs w:val="22"/>
          <w:lang w:val="en-US" w:eastAsia="zh-CN"/>
        </w:rPr>
        <w:t>Proposal 2: The Alt1 (using TPMI for antenna selection) should be supported.</w:t>
      </w:r>
    </w:p>
    <w:p w14:paraId="2BEBEF1D" w14:textId="77777777" w:rsidR="00A1341C" w:rsidRDefault="00A1341C" w:rsidP="00A1341C">
      <w:pPr>
        <w:ind w:firstLine="284"/>
        <w:jc w:val="both"/>
        <w:rPr>
          <w:b/>
          <w:i/>
          <w:sz w:val="22"/>
          <w:szCs w:val="22"/>
          <w:lang w:val="en-US" w:eastAsia="zh-CN"/>
        </w:rPr>
      </w:pPr>
      <w:r>
        <w:rPr>
          <w:b/>
          <w:i/>
          <w:sz w:val="22"/>
          <w:szCs w:val="22"/>
          <w:lang w:val="en-US" w:eastAsia="zh-CN"/>
        </w:rPr>
        <w:t>Proposal 3: The SRI, TRI and TPMI should be jointly coded to save the overhead.</w:t>
      </w:r>
    </w:p>
    <w:p w14:paraId="28E38A8A" w14:textId="77777777" w:rsidR="00A1341C" w:rsidRPr="00A1341C" w:rsidRDefault="00A1341C" w:rsidP="00A1341C">
      <w:pPr>
        <w:ind w:firstLine="284"/>
        <w:jc w:val="both"/>
        <w:rPr>
          <w:b/>
          <w:i/>
          <w:sz w:val="22"/>
          <w:szCs w:val="22"/>
          <w:lang w:val="en-US" w:eastAsia="zh-CN"/>
        </w:rPr>
      </w:pPr>
      <w:r w:rsidRPr="00A1341C">
        <w:rPr>
          <w:b/>
          <w:i/>
          <w:sz w:val="22"/>
          <w:szCs w:val="22"/>
          <w:lang w:val="en-US" w:eastAsia="zh-CN"/>
        </w:rPr>
        <w:t>Proposal 4: The 4Tx codebook should support both antenna selection and antenna combining.</w:t>
      </w:r>
    </w:p>
    <w:p w14:paraId="3C469B49" w14:textId="77777777" w:rsidR="00A1341C" w:rsidRDefault="00A1341C" w:rsidP="00A1341C">
      <w:pPr>
        <w:ind w:firstLine="284"/>
        <w:jc w:val="both"/>
        <w:rPr>
          <w:b/>
          <w:i/>
          <w:sz w:val="22"/>
          <w:szCs w:val="22"/>
          <w:lang w:val="en-US" w:eastAsia="zh-CN"/>
        </w:rPr>
      </w:pPr>
      <w:r w:rsidRPr="00A1341C">
        <w:rPr>
          <w:b/>
          <w:i/>
          <w:sz w:val="22"/>
          <w:szCs w:val="22"/>
          <w:lang w:val="en-US" w:eastAsia="zh-CN"/>
        </w:rPr>
        <w:t>Proposal 5: For wideband precoding, the TPMI is based on a single stage codebook; for subband precoding the TPMI can be based on a dual-stage codebook where the first stage is for antenna selection and the second stage is for the co-phasing of selected antenna ports.</w:t>
      </w:r>
    </w:p>
    <w:p w14:paraId="3BE4CB3E" w14:textId="77777777" w:rsidR="007C140F" w:rsidRPr="00A1341C" w:rsidRDefault="007C140F" w:rsidP="007C140F">
      <w:pPr>
        <w:ind w:firstLine="284"/>
        <w:jc w:val="both"/>
        <w:rPr>
          <w:b/>
          <w:i/>
          <w:sz w:val="22"/>
          <w:szCs w:val="22"/>
          <w:lang w:val="en-US" w:eastAsia="zh-CN"/>
        </w:rPr>
      </w:pPr>
      <w:r>
        <w:rPr>
          <w:b/>
          <w:i/>
          <w:sz w:val="22"/>
          <w:szCs w:val="22"/>
          <w:lang w:val="en-US" w:eastAsia="zh-CN"/>
        </w:rPr>
        <w:t>Proposal 6: For DFT-s-OFDM, the precoders in Table 4 should be supported for antenna selection.</w:t>
      </w:r>
    </w:p>
    <w:p w14:paraId="7626ADCB" w14:textId="20FA78B8" w:rsidR="00A1341C" w:rsidRDefault="00A1341C" w:rsidP="00A1341C">
      <w:pPr>
        <w:ind w:firstLine="284"/>
        <w:rPr>
          <w:b/>
          <w:i/>
          <w:sz w:val="22"/>
          <w:szCs w:val="22"/>
          <w:lang w:val="en-US" w:eastAsia="zh-CN"/>
        </w:rPr>
      </w:pPr>
      <w:r w:rsidRPr="0057043C">
        <w:rPr>
          <w:b/>
          <w:i/>
          <w:sz w:val="22"/>
          <w:szCs w:val="22"/>
          <w:lang w:val="en-US" w:eastAsia="zh-CN"/>
        </w:rPr>
        <w:t xml:space="preserve">Proposal </w:t>
      </w:r>
      <w:r w:rsidR="007C140F">
        <w:rPr>
          <w:b/>
          <w:i/>
          <w:sz w:val="22"/>
          <w:szCs w:val="22"/>
          <w:lang w:val="en-US" w:eastAsia="zh-CN"/>
        </w:rPr>
        <w:t>7</w:t>
      </w:r>
      <w:r w:rsidRPr="0057043C">
        <w:rPr>
          <w:b/>
          <w:i/>
          <w:sz w:val="22"/>
          <w:szCs w:val="22"/>
          <w:lang w:val="en-US" w:eastAsia="zh-CN"/>
        </w:rPr>
        <w:t>:</w:t>
      </w:r>
      <w:r>
        <w:rPr>
          <w:b/>
          <w:i/>
          <w:sz w:val="22"/>
          <w:szCs w:val="22"/>
          <w:lang w:val="en-US" w:eastAsia="zh-CN"/>
        </w:rPr>
        <w:t xml:space="preserve"> The wideband and subband precoder based transmission scheme should be dynamically switched.</w:t>
      </w:r>
    </w:p>
    <w:p w14:paraId="44E63D88" w14:textId="4B89B403" w:rsidR="00A1341C" w:rsidRPr="0057043C" w:rsidRDefault="007C140F" w:rsidP="00A1341C">
      <w:pPr>
        <w:ind w:firstLine="284"/>
        <w:rPr>
          <w:b/>
          <w:i/>
          <w:sz w:val="22"/>
          <w:szCs w:val="22"/>
          <w:lang w:val="en-US" w:eastAsia="zh-CN"/>
        </w:rPr>
      </w:pPr>
      <w:r>
        <w:rPr>
          <w:b/>
          <w:i/>
          <w:sz w:val="22"/>
          <w:szCs w:val="22"/>
          <w:lang w:val="en-US" w:eastAsia="zh-CN"/>
        </w:rPr>
        <w:t>Proposal 8</w:t>
      </w:r>
      <w:r w:rsidR="00A1341C">
        <w:rPr>
          <w:b/>
          <w:i/>
          <w:sz w:val="22"/>
          <w:szCs w:val="22"/>
          <w:lang w:val="en-US" w:eastAsia="zh-CN"/>
        </w:rPr>
        <w:t>: It should be supported that s</w:t>
      </w:r>
      <w:r w:rsidR="00A1341C" w:rsidRPr="00CA59AB">
        <w:rPr>
          <w:b/>
          <w:i/>
          <w:sz w:val="22"/>
          <w:szCs w:val="22"/>
          <w:lang w:val="en-US" w:eastAsia="zh-CN"/>
        </w:rPr>
        <w:t>ubband TPMIs are signaled via DCI to the UE for all PRBs in UL, regardless of the actual RA for a given PUSCH transmission</w:t>
      </w:r>
      <w:r w:rsidR="00A1341C">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06506847" w:rsidR="00E30608" w:rsidRDefault="00D3527F" w:rsidP="00A0767A">
      <w:pPr>
        <w:numPr>
          <w:ilvl w:val="0"/>
          <w:numId w:val="2"/>
        </w:numPr>
        <w:rPr>
          <w:sz w:val="22"/>
          <w:szCs w:val="22"/>
          <w:lang w:val="en-US" w:eastAsia="zh-CN"/>
        </w:rPr>
      </w:pPr>
      <w:r>
        <w:rPr>
          <w:sz w:val="22"/>
          <w:szCs w:val="22"/>
          <w:lang w:val="en-US" w:eastAsia="zh-CN"/>
        </w:rPr>
        <w:t xml:space="preserve">Chairman Notes RAN1 </w:t>
      </w:r>
      <w:r w:rsidR="00A1341C">
        <w:rPr>
          <w:sz w:val="22"/>
          <w:szCs w:val="22"/>
          <w:lang w:val="en-US" w:eastAsia="zh-CN"/>
        </w:rPr>
        <w:t>#90</w:t>
      </w:r>
    </w:p>
    <w:p w14:paraId="21FA3173" w14:textId="5721EDB1" w:rsidR="009B0D80" w:rsidRDefault="009B0D80" w:rsidP="00A0767A">
      <w:pPr>
        <w:numPr>
          <w:ilvl w:val="0"/>
          <w:numId w:val="2"/>
        </w:numPr>
        <w:rPr>
          <w:sz w:val="22"/>
          <w:szCs w:val="22"/>
          <w:lang w:val="en-US" w:eastAsia="zh-CN"/>
        </w:rPr>
      </w:pPr>
      <w:r>
        <w:rPr>
          <w:sz w:val="22"/>
          <w:szCs w:val="22"/>
          <w:lang w:val="en-US" w:eastAsia="zh-CN"/>
        </w:rPr>
        <w:t>Chairman Notes RAN1 NR AH #3</w:t>
      </w:r>
    </w:p>
    <w:p w14:paraId="5E8124F7" w14:textId="77777777" w:rsidR="00E312CB" w:rsidRDefault="00E312CB" w:rsidP="00E312CB">
      <w:pPr>
        <w:ind w:left="420"/>
        <w:rPr>
          <w:sz w:val="22"/>
          <w:szCs w:val="22"/>
          <w:lang w:val="en-US" w:eastAsia="zh-CN"/>
        </w:rPr>
      </w:pPr>
    </w:p>
    <w:sectPr w:rsidR="00E312CB"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5D3897" w:rsidRDefault="005D3897">
      <w:r>
        <w:separator/>
      </w:r>
    </w:p>
  </w:endnote>
  <w:endnote w:type="continuationSeparator" w:id="0">
    <w:p w14:paraId="071F1724" w14:textId="77777777" w:rsidR="005D3897" w:rsidRDefault="005D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5D3897" w:rsidRDefault="005D389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D3897" w:rsidRDefault="005D389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5D3897" w:rsidRDefault="005D389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547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547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5D3897" w:rsidRDefault="005D3897">
      <w:r>
        <w:separator/>
      </w:r>
    </w:p>
  </w:footnote>
  <w:footnote w:type="continuationSeparator" w:id="0">
    <w:p w14:paraId="439D2973" w14:textId="77777777" w:rsidR="005D3897" w:rsidRDefault="005D3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5D3897" w:rsidRDefault="005D38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4"/>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0"/>
  </w:num>
  <w:num w:numId="7">
    <w:abstractNumId w:val="27"/>
  </w:num>
  <w:num w:numId="8">
    <w:abstractNumId w:val="17"/>
  </w:num>
  <w:num w:numId="9">
    <w:abstractNumId w:val="7"/>
  </w:num>
  <w:num w:numId="10">
    <w:abstractNumId w:val="6"/>
  </w:num>
  <w:num w:numId="11">
    <w:abstractNumId w:val="22"/>
  </w:num>
  <w:num w:numId="12">
    <w:abstractNumId w:val="11"/>
  </w:num>
  <w:num w:numId="13">
    <w:abstractNumId w:val="18"/>
  </w:num>
  <w:num w:numId="14">
    <w:abstractNumId w:val="21"/>
  </w:num>
  <w:num w:numId="15">
    <w:abstractNumId w:val="23"/>
  </w:num>
  <w:num w:numId="16">
    <w:abstractNumId w:val="31"/>
  </w:num>
  <w:num w:numId="17">
    <w:abstractNumId w:val="29"/>
  </w:num>
  <w:num w:numId="18">
    <w:abstractNumId w:val="5"/>
  </w:num>
  <w:num w:numId="19">
    <w:abstractNumId w:val="16"/>
  </w:num>
  <w:num w:numId="20">
    <w:abstractNumId w:val="32"/>
  </w:num>
  <w:num w:numId="21">
    <w:abstractNumId w:val="1"/>
  </w:num>
  <w:num w:numId="22">
    <w:abstractNumId w:val="2"/>
  </w:num>
  <w:num w:numId="23">
    <w:abstractNumId w:val="9"/>
  </w:num>
  <w:num w:numId="24">
    <w:abstractNumId w:val="8"/>
  </w:num>
  <w:num w:numId="25">
    <w:abstractNumId w:val="26"/>
  </w:num>
  <w:num w:numId="26">
    <w:abstractNumId w:val="28"/>
  </w:num>
  <w:num w:numId="27">
    <w:abstractNumId w:val="3"/>
  </w:num>
  <w:num w:numId="28">
    <w:abstractNumId w:val="4"/>
  </w:num>
  <w:num w:numId="29">
    <w:abstractNumId w:val="24"/>
  </w:num>
  <w:num w:numId="30">
    <w:abstractNumId w:val="14"/>
  </w:num>
  <w:num w:numId="31">
    <w:abstractNumId w:val="20"/>
  </w:num>
  <w:num w:numId="32">
    <w:abstractNumId w:val="10"/>
  </w:num>
  <w:num w:numId="33">
    <w:abstractNumId w:val="33"/>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0CF62D3-A236-4595-8666-0000894A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2209</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13461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6</cp:revision>
  <cp:lastPrinted>2011-11-09T07:49:00Z</cp:lastPrinted>
  <dcterms:created xsi:type="dcterms:W3CDTF">2017-09-28T04:24:00Z</dcterms:created>
  <dcterms:modified xsi:type="dcterms:W3CDTF">2017-09-30T01:11:00Z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2017-08-09 04:54:07Z</vt:lpwstr>
  </property>
  <property fmtid="{D5CDD505-2E9C-101B-9397-08002B2CF9AE}" pid="12" name="ContentTypeId">
    <vt:lpwstr>0x010100E7203326D341CE4C85D524438E4584D9</vt:lpwstr>
  </property>
  <property fmtid="{D5CDD505-2E9C-101B-9397-08002B2CF9AE}" pid="13" name="CTPClassification">
    <vt:lpwstr>CTP_IC</vt:lpwstr>
  </property>
</Properties>
</file>